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04"/>
        <w:gridCol w:w="440"/>
        <w:gridCol w:w="9197"/>
      </w:tblGrid>
      <w:tr w:rsidR="00BD4F2A" w:rsidRPr="006A481C" w:rsidTr="00E072E0">
        <w:tc>
          <w:tcPr>
            <w:tcW w:w="1958" w:type="pct"/>
          </w:tcPr>
          <w:p w:rsidR="00E072E0" w:rsidRPr="006A481C" w:rsidRDefault="00E072E0" w:rsidP="00E072E0">
            <w:pPr>
              <w:widowControl/>
              <w:jc w:val="center"/>
              <w:rPr>
                <w:rFonts w:ascii="Times New Roman" w:hAnsi="Times New Roman" w:cs="Times New Roman"/>
                <w:color w:val="auto"/>
                <w:sz w:val="26"/>
                <w:szCs w:val="26"/>
                <w:lang w:val="en-US" w:eastAsia="en-US"/>
              </w:rPr>
            </w:pPr>
            <w:r w:rsidRPr="006A481C">
              <w:rPr>
                <w:rFonts w:ascii="Times New Roman" w:hAnsi="Times New Roman" w:cs="Times New Roman"/>
                <w:color w:val="auto"/>
                <w:sz w:val="26"/>
                <w:szCs w:val="26"/>
                <w:lang w:val="en-US" w:eastAsia="en-US"/>
              </w:rPr>
              <w:t>UBND TỈNH CAO BẰNG</w:t>
            </w:r>
          </w:p>
          <w:p w:rsidR="00E072E0" w:rsidRPr="006A481C" w:rsidRDefault="00E072E0" w:rsidP="00E072E0">
            <w:pPr>
              <w:widowControl/>
              <w:jc w:val="center"/>
              <w:rPr>
                <w:rFonts w:ascii="Times New Roman" w:hAnsi="Times New Roman" w:cs="Times New Roman"/>
                <w:b/>
                <w:color w:val="auto"/>
                <w:sz w:val="28"/>
                <w:szCs w:val="28"/>
                <w:lang w:val="en-US" w:eastAsia="en-US"/>
              </w:rPr>
            </w:pPr>
            <w:r w:rsidRPr="006A481C">
              <w:rPr>
                <w:rFonts w:ascii="Times New Roman" w:hAnsi="Times New Roman" w:cs="Times New Roman"/>
                <w:b/>
                <w:color w:val="auto"/>
                <w:sz w:val="28"/>
                <w:szCs w:val="28"/>
                <w:lang w:val="en-US" w:eastAsia="en-US"/>
              </w:rPr>
              <w:t>SỞ TÀI CHÍNH</w:t>
            </w:r>
          </w:p>
          <w:p w:rsidR="00BD4F2A" w:rsidRPr="006A481C" w:rsidRDefault="00256699" w:rsidP="00E072E0">
            <w:pPr>
              <w:spacing w:before="120"/>
              <w:jc w:val="center"/>
              <w:rPr>
                <w:rFonts w:ascii="Times New Roman" w:hAnsi="Times New Roman" w:cs="Times New Roman"/>
                <w:b/>
                <w:sz w:val="28"/>
                <w:szCs w:val="28"/>
              </w:rPr>
            </w:pPr>
            <w:r>
              <w:rPr>
                <w:rFonts w:ascii="Times New Roman" w:hAnsi="Times New Roman" w:cs="Times New Roman"/>
                <w:noProof/>
                <w:color w:val="auto"/>
                <w:sz w:val="26"/>
                <w:szCs w:val="26"/>
                <w:lang w:val="en-US" w:eastAsia="en-US"/>
              </w:rPr>
              <mc:AlternateContent>
                <mc:Choice Requires="wps">
                  <w:drawing>
                    <wp:anchor distT="0" distB="0" distL="114300" distR="114300" simplePos="0" relativeHeight="251660288" behindDoc="0" locked="0" layoutInCell="1" allowOverlap="1" wp14:anchorId="7F74F061" wp14:editId="4436C787">
                      <wp:simplePos x="0" y="0"/>
                      <wp:positionH relativeFrom="column">
                        <wp:posOffset>1019810</wp:posOffset>
                      </wp:positionH>
                      <wp:positionV relativeFrom="paragraph">
                        <wp:posOffset>299085</wp:posOffset>
                      </wp:positionV>
                      <wp:extent cx="1121410" cy="431165"/>
                      <wp:effectExtent l="0" t="0" r="21590" b="260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431165"/>
                              </a:xfrm>
                              <a:prstGeom prst="rect">
                                <a:avLst/>
                              </a:prstGeom>
                              <a:solidFill>
                                <a:srgbClr val="FFFFFF"/>
                              </a:solidFill>
                              <a:ln w="9525">
                                <a:solidFill>
                                  <a:srgbClr val="000000"/>
                                </a:solidFill>
                                <a:miter lim="800000"/>
                                <a:headEnd/>
                                <a:tailEnd/>
                              </a:ln>
                            </wps:spPr>
                            <wps:txbx>
                              <w:txbxContent>
                                <w:p w:rsidR="00256699" w:rsidRPr="00000AA7" w:rsidRDefault="00256699" w:rsidP="00000AA7">
                                  <w:pPr>
                                    <w:spacing w:before="120" w:after="120"/>
                                    <w:jc w:val="center"/>
                                    <w:rPr>
                                      <w:rFonts w:ascii="Times New Roman" w:hAnsi="Times New Roman"/>
                                      <w:b/>
                                      <w:sz w:val="28"/>
                                    </w:rPr>
                                  </w:pPr>
                                  <w:r w:rsidRPr="00000AA7">
                                    <w:rPr>
                                      <w:rFonts w:ascii="Times New Roman" w:hAnsi="Times New Roman"/>
                                      <w:b/>
                                      <w:sz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80.3pt;margin-top:23.55pt;width:88.3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">
                      <v:textbox>
                        <w:txbxContent>
                          <w:p w:rsidR="00256699" w:rsidRPr="00000AA7" w:rsidRDefault="00256699" w:rsidP="00000AA7">
                            <w:pPr>
                              <w:spacing w:before="120" w:after="120"/>
                              <w:jc w:val="center"/>
                              <w:rPr>
                                <w:rFonts w:ascii="Times New Roman" w:hAnsi="Times New Roman"/>
                                <w:b/>
                                <w:sz w:val="28"/>
                              </w:rPr>
                            </w:pPr>
                            <w:r w:rsidRPr="00000AA7">
                              <w:rPr>
                                <w:rFonts w:ascii="Times New Roman" w:hAnsi="Times New Roman"/>
                                <w:b/>
                                <w:sz w:val="28"/>
                              </w:rPr>
                              <w:t>DỰ THẢO</w:t>
                            </w:r>
                          </w:p>
                        </w:txbxContent>
                      </v:textbox>
                    </v:rect>
                  </w:pict>
                </mc:Fallback>
              </mc:AlternateContent>
            </w:r>
            <w:r w:rsidR="00633682">
              <w:rPr>
                <w:rFonts w:ascii="Times New Roman" w:hAnsi="Times New Roman" w:cs="Times New Roman"/>
                <w:noProof/>
                <w:color w:val="auto"/>
                <w:sz w:val="26"/>
                <w:szCs w:val="26"/>
                <w:lang w:val="en-US" w:eastAsia="en-US"/>
              </w:rPr>
              <mc:AlternateContent>
                <mc:Choice Requires="wps">
                  <w:drawing>
                    <wp:anchor distT="4294967295" distB="4294967295" distL="114300" distR="114300" simplePos="0" relativeHeight="251658240" behindDoc="0" locked="0" layoutInCell="1" allowOverlap="1">
                      <wp:simplePos x="0" y="0"/>
                      <wp:positionH relativeFrom="column">
                        <wp:posOffset>1393825</wp:posOffset>
                      </wp:positionH>
                      <wp:positionV relativeFrom="paragraph">
                        <wp:posOffset>30479</wp:posOffset>
                      </wp:positionV>
                      <wp:extent cx="969645" cy="0"/>
                      <wp:effectExtent l="0" t="0" r="2095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75pt,2.4pt" to="186.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aV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"/>
                  </w:pict>
                </mc:Fallback>
              </mc:AlternateContent>
            </w:r>
            <w:r w:rsidR="00BD4F2A" w:rsidRPr="006A481C">
              <w:rPr>
                <w:rFonts w:ascii="Times New Roman" w:hAnsi="Times New Roman" w:cs="Times New Roman"/>
                <w:b/>
                <w:sz w:val="26"/>
                <w:szCs w:val="28"/>
              </w:rPr>
              <w:br/>
            </w:r>
          </w:p>
        </w:tc>
        <w:tc>
          <w:tcPr>
            <w:tcW w:w="3042" w:type="pct"/>
            <w:gridSpan w:val="2"/>
          </w:tcPr>
          <w:p w:rsidR="00BD4F2A" w:rsidRPr="006A481C" w:rsidRDefault="00633682" w:rsidP="00E072E0">
            <w:pPr>
              <w:spacing w:before="120"/>
              <w:jc w:val="center"/>
              <w:rPr>
                <w:rFonts w:ascii="Times New Roman" w:hAnsi="Times New Roman" w:cs="Times New Roman"/>
                <w:b/>
                <w:sz w:val="28"/>
                <w:szCs w:val="28"/>
              </w:rPr>
            </w:pPr>
            <w:r>
              <w:rPr>
                <w:rFonts w:ascii="Times New Roman" w:hAnsi="Times New Roman" w:cs="Times New Roman"/>
                <w:b/>
                <w:noProof/>
                <w:sz w:val="26"/>
                <w:szCs w:val="28"/>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2010410</wp:posOffset>
                      </wp:positionH>
                      <wp:positionV relativeFrom="paragraph">
                        <wp:posOffset>495934</wp:posOffset>
                      </wp:positionV>
                      <wp:extent cx="1906270" cy="0"/>
                      <wp:effectExtent l="0" t="0" r="1778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3pt,39.05pt" to="308.4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Q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HkSI9&#10;tGjrLRFt51GllQIBtUWPQafBuALCK7WxoVJ6VFvzoul3h5SuOqJaHvm+nQyAZCEjeZcSNs7Abbvh&#10;i2YQQ/ZeR9GOje0DJMiBjrE3p1tv+NEjCofZPJ2On6C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"/>
                  </w:pict>
                </mc:Fallback>
              </mc:AlternateContent>
            </w:r>
            <w:r w:rsidR="00BD4F2A" w:rsidRPr="006A481C">
              <w:rPr>
                <w:rFonts w:ascii="Times New Roman" w:hAnsi="Times New Roman" w:cs="Times New Roman"/>
                <w:b/>
                <w:sz w:val="26"/>
                <w:szCs w:val="28"/>
              </w:rPr>
              <w:t>CỘNG HÒA XÃ HỘI CHỦ NGHĨA VIỆT NAM</w:t>
            </w:r>
            <w:r w:rsidR="00BD4F2A" w:rsidRPr="006A481C">
              <w:rPr>
                <w:rFonts w:ascii="Times New Roman" w:hAnsi="Times New Roman" w:cs="Times New Roman"/>
                <w:b/>
                <w:sz w:val="26"/>
                <w:szCs w:val="28"/>
              </w:rPr>
              <w:br/>
            </w:r>
            <w:r w:rsidR="00BD4F2A" w:rsidRPr="006A481C">
              <w:rPr>
                <w:rFonts w:ascii="Times New Roman" w:hAnsi="Times New Roman" w:cs="Times New Roman"/>
                <w:b/>
                <w:sz w:val="28"/>
                <w:szCs w:val="28"/>
              </w:rPr>
              <w:t xml:space="preserve">Độc lập - Tự do - Hạnh phúc </w:t>
            </w:r>
            <w:r w:rsidR="00BD4F2A" w:rsidRPr="006A481C">
              <w:rPr>
                <w:rFonts w:ascii="Times New Roman" w:hAnsi="Times New Roman" w:cs="Times New Roman"/>
                <w:b/>
                <w:sz w:val="28"/>
                <w:szCs w:val="28"/>
              </w:rPr>
              <w:br/>
            </w:r>
          </w:p>
        </w:tc>
      </w:tr>
      <w:tr w:rsidR="00BD4F2A" w:rsidRPr="006A481C" w:rsidTr="00E072E0">
        <w:tc>
          <w:tcPr>
            <w:tcW w:w="2097" w:type="pct"/>
            <w:gridSpan w:val="2"/>
          </w:tcPr>
          <w:p w:rsidR="00BD4F2A" w:rsidRPr="006A481C" w:rsidRDefault="00BD4F2A" w:rsidP="00F27B7F">
            <w:pPr>
              <w:spacing w:before="120"/>
              <w:jc w:val="center"/>
              <w:rPr>
                <w:rFonts w:ascii="Times New Roman" w:hAnsi="Times New Roman" w:cs="Times New Roman"/>
                <w:sz w:val="28"/>
                <w:szCs w:val="28"/>
              </w:rPr>
            </w:pPr>
          </w:p>
        </w:tc>
        <w:tc>
          <w:tcPr>
            <w:tcW w:w="2903" w:type="pct"/>
          </w:tcPr>
          <w:p w:rsidR="00BD4F2A" w:rsidRPr="006A481C" w:rsidRDefault="00E072E0" w:rsidP="009C7020">
            <w:pPr>
              <w:jc w:val="center"/>
              <w:rPr>
                <w:rFonts w:ascii="Times New Roman" w:hAnsi="Times New Roman" w:cs="Times New Roman"/>
                <w:i/>
                <w:sz w:val="28"/>
                <w:szCs w:val="28"/>
              </w:rPr>
            </w:pPr>
            <w:r w:rsidRPr="006A481C">
              <w:rPr>
                <w:rFonts w:ascii="Times New Roman" w:hAnsi="Times New Roman" w:cs="Times New Roman"/>
                <w:i/>
                <w:iCs/>
                <w:sz w:val="28"/>
                <w:szCs w:val="28"/>
                <w:lang w:val="en-US"/>
              </w:rPr>
              <w:t>Cao Bằng</w:t>
            </w:r>
            <w:r w:rsidR="00BD4F2A" w:rsidRPr="006A481C">
              <w:rPr>
                <w:rFonts w:ascii="Times New Roman" w:hAnsi="Times New Roman" w:cs="Times New Roman"/>
                <w:i/>
                <w:iCs/>
                <w:sz w:val="28"/>
                <w:szCs w:val="28"/>
              </w:rPr>
              <w:t xml:space="preserve">, ngày </w:t>
            </w:r>
            <w:r w:rsidR="00B33F9A">
              <w:rPr>
                <w:rFonts w:ascii="Times New Roman" w:hAnsi="Times New Roman" w:cs="Times New Roman"/>
                <w:i/>
                <w:iCs/>
                <w:sz w:val="28"/>
                <w:szCs w:val="28"/>
                <w:lang w:val="en-US"/>
              </w:rPr>
              <w:t xml:space="preserve">   </w:t>
            </w:r>
            <w:r w:rsidR="00757751">
              <w:rPr>
                <w:rFonts w:ascii="Times New Roman" w:hAnsi="Times New Roman" w:cs="Times New Roman"/>
                <w:i/>
                <w:iCs/>
                <w:sz w:val="28"/>
                <w:szCs w:val="28"/>
              </w:rPr>
              <w:t xml:space="preserve"> tháng</w:t>
            </w:r>
            <w:r w:rsidR="009C7020">
              <w:rPr>
                <w:rFonts w:ascii="Times New Roman" w:hAnsi="Times New Roman" w:cs="Times New Roman"/>
                <w:i/>
                <w:iCs/>
                <w:sz w:val="28"/>
                <w:szCs w:val="28"/>
                <w:lang w:val="en-US"/>
              </w:rPr>
              <w:t xml:space="preserve"> </w:t>
            </w:r>
            <w:bookmarkStart w:id="0" w:name="_GoBack"/>
            <w:bookmarkEnd w:id="0"/>
            <w:r w:rsidR="009C7020">
              <w:rPr>
                <w:rFonts w:ascii="Times New Roman" w:hAnsi="Times New Roman" w:cs="Times New Roman"/>
                <w:i/>
                <w:iCs/>
                <w:sz w:val="28"/>
                <w:szCs w:val="28"/>
                <w:lang w:val="en-US"/>
              </w:rPr>
              <w:t>11</w:t>
            </w:r>
            <w:r w:rsidR="00BD4F2A" w:rsidRPr="006A481C">
              <w:rPr>
                <w:rFonts w:ascii="Times New Roman" w:hAnsi="Times New Roman" w:cs="Times New Roman"/>
                <w:i/>
                <w:iCs/>
                <w:sz w:val="28"/>
                <w:szCs w:val="28"/>
              </w:rPr>
              <w:t xml:space="preserve"> năm </w:t>
            </w:r>
            <w:r w:rsidR="004D491E" w:rsidRPr="006A481C">
              <w:rPr>
                <w:rFonts w:ascii="Times New Roman" w:hAnsi="Times New Roman" w:cs="Times New Roman"/>
                <w:i/>
                <w:iCs/>
                <w:sz w:val="28"/>
                <w:szCs w:val="28"/>
                <w:lang w:val="en-US"/>
              </w:rPr>
              <w:t>2025</w:t>
            </w:r>
          </w:p>
        </w:tc>
      </w:tr>
    </w:tbl>
    <w:p w:rsidR="00BD4F2A" w:rsidRPr="006A481C" w:rsidRDefault="00BD4F2A" w:rsidP="00BD4F2A">
      <w:pPr>
        <w:spacing w:before="120"/>
        <w:rPr>
          <w:rFonts w:ascii="Times New Roman" w:hAnsi="Times New Roman" w:cs="Times New Roman"/>
          <w:b/>
          <w:bCs/>
          <w:sz w:val="28"/>
          <w:szCs w:val="28"/>
          <w:lang w:val="en-US"/>
        </w:rPr>
      </w:pPr>
    </w:p>
    <w:p w:rsidR="00B33F9A" w:rsidRPr="00F4657D" w:rsidRDefault="0067338D" w:rsidP="0071581F">
      <w:pPr>
        <w:pStyle w:val="NormalWeb"/>
        <w:spacing w:before="0" w:beforeAutospacing="0" w:after="0" w:afterAutospacing="0"/>
        <w:jc w:val="center"/>
        <w:rPr>
          <w:b/>
          <w:bCs/>
          <w:color w:val="000000" w:themeColor="text1"/>
          <w:sz w:val="28"/>
          <w:szCs w:val="28"/>
        </w:rPr>
      </w:pPr>
      <w:r w:rsidRPr="00F4657D">
        <w:rPr>
          <w:b/>
          <w:bCs/>
          <w:sz w:val="28"/>
          <w:szCs w:val="28"/>
        </w:rPr>
        <w:t>Bản so sánh, thuyết minh nội</w:t>
      </w:r>
      <w:r w:rsidR="00717545" w:rsidRPr="00F4657D">
        <w:rPr>
          <w:b/>
          <w:color w:val="000000" w:themeColor="text1"/>
          <w:sz w:val="28"/>
          <w:szCs w:val="28"/>
        </w:rPr>
        <w:t xml:space="preserve"> quy </w:t>
      </w:r>
      <w:r w:rsidRPr="00F4657D">
        <w:rPr>
          <w:b/>
          <w:color w:val="000000" w:themeColor="text1"/>
          <w:sz w:val="28"/>
          <w:szCs w:val="28"/>
        </w:rPr>
        <w:t>định</w:t>
      </w:r>
      <w:r w:rsidR="00717545" w:rsidRPr="00F4657D">
        <w:rPr>
          <w:b/>
          <w:color w:val="000000" w:themeColor="text1"/>
          <w:sz w:val="28"/>
          <w:szCs w:val="28"/>
        </w:rPr>
        <w:t xml:space="preserve"> </w:t>
      </w:r>
      <w:r w:rsidR="0071581F" w:rsidRPr="00F4657D">
        <w:rPr>
          <w:b/>
          <w:color w:val="000000" w:themeColor="text1"/>
          <w:sz w:val="28"/>
          <w:szCs w:val="28"/>
        </w:rPr>
        <w:t xml:space="preserve">phân cấp thẩm quyền quyết định </w:t>
      </w:r>
      <w:r w:rsidR="00F4657D" w:rsidRPr="00F4657D">
        <w:rPr>
          <w:b/>
          <w:sz w:val="28"/>
          <w:szCs w:val="28"/>
        </w:rPr>
        <w:t xml:space="preserve">phân cấp thẩm quyền quyết định bổ sung số lượng máy móc, thiết bị; điều chỉnh mức giá máy móc, thiết bị; </w:t>
      </w:r>
      <w:r w:rsidR="00F4657D" w:rsidRPr="00F4657D">
        <w:rPr>
          <w:b/>
          <w:color w:val="000000" w:themeColor="text1"/>
          <w:sz w:val="28"/>
          <w:szCs w:val="28"/>
        </w:rPr>
        <w:t>tiêu chuẩn, định mức máy móc thiết bị chuyên dùng (không bao gồm máy móc, thiết bị chuyên dùng trong lĩnh vực y tế, giáo dục và đào tạo) tại</w:t>
      </w:r>
      <w:r w:rsidR="0071581F" w:rsidRPr="00F4657D">
        <w:rPr>
          <w:b/>
          <w:color w:val="000000" w:themeColor="text1"/>
          <w:sz w:val="28"/>
          <w:szCs w:val="28"/>
        </w:rPr>
        <w:t xml:space="preserve"> </w:t>
      </w:r>
      <w:r w:rsidR="0071581F" w:rsidRPr="00F4657D">
        <w:rPr>
          <w:b/>
          <w:bCs/>
          <w:color w:val="000000" w:themeColor="text1"/>
          <w:sz w:val="28"/>
          <w:szCs w:val="28"/>
        </w:rPr>
        <w:t>các cơ quan, tổ chức, đơn vị thuộc phạm vi quản lý của tỉnh Cao Bằng</w:t>
      </w:r>
    </w:p>
    <w:p w:rsidR="00BD4F2A" w:rsidRPr="00F4657D" w:rsidRDefault="00BD4F2A" w:rsidP="00E072E0">
      <w:pPr>
        <w:jc w:val="center"/>
        <w:rPr>
          <w:rFonts w:ascii="Times New Roman" w:hAnsi="Times New Roman" w:cs="Times New Roman"/>
          <w:b/>
          <w:bCs/>
          <w:lang w:val="en-US"/>
        </w:rPr>
      </w:pPr>
    </w:p>
    <w:p w:rsidR="00A45885" w:rsidRPr="006A481C" w:rsidRDefault="00A45885" w:rsidP="003B6DEF">
      <w:pPr>
        <w:jc w:val="center"/>
        <w:rPr>
          <w:rFonts w:ascii="Times New Roman" w:hAnsi="Times New Roman" w:cs="Times New Roman"/>
          <w:b/>
          <w:bCs/>
          <w:sz w:val="25"/>
          <w:szCs w:val="25"/>
          <w:lang w:val="en-US"/>
        </w:rPr>
      </w:pPr>
    </w:p>
    <w:tbl>
      <w:tblPr>
        <w:tblOverlap w:val="never"/>
        <w:tblW w:w="47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 w:type="dxa"/>
          <w:right w:w="10" w:type="dxa"/>
        </w:tblCellMar>
        <w:tblLook w:val="04A0" w:firstRow="1" w:lastRow="0" w:firstColumn="1" w:lastColumn="0" w:noHBand="0" w:noVBand="1"/>
      </w:tblPr>
      <w:tblGrid>
        <w:gridCol w:w="6604"/>
        <w:gridCol w:w="4964"/>
        <w:gridCol w:w="2259"/>
      </w:tblGrid>
      <w:tr w:rsidR="00DF63F2" w:rsidRPr="00132362" w:rsidTr="00132362">
        <w:trPr>
          <w:trHeight w:val="1989"/>
          <w:jc w:val="center"/>
        </w:trPr>
        <w:tc>
          <w:tcPr>
            <w:tcW w:w="2388" w:type="pct"/>
            <w:shd w:val="clear" w:color="auto" w:fill="FFFFFF"/>
            <w:vAlign w:val="center"/>
          </w:tcPr>
          <w:p w:rsidR="00256699" w:rsidRPr="00B665B6" w:rsidRDefault="00256699" w:rsidP="00B665B6">
            <w:pPr>
              <w:spacing w:after="60"/>
              <w:ind w:left="57" w:right="57"/>
              <w:jc w:val="both"/>
              <w:rPr>
                <w:rFonts w:ascii="Times New Roman" w:hAnsi="Times New Roman" w:cs="Times New Roman"/>
                <w:b/>
                <w:bCs/>
                <w:color w:val="000000" w:themeColor="text1"/>
                <w:sz w:val="26"/>
                <w:szCs w:val="26"/>
                <w:lang w:val="en-US"/>
              </w:rPr>
            </w:pPr>
            <w:r w:rsidRPr="00B665B6">
              <w:rPr>
                <w:rFonts w:ascii="Times New Roman" w:hAnsi="Times New Roman" w:cs="Times New Roman"/>
                <w:b/>
                <w:bCs/>
                <w:color w:val="000000" w:themeColor="text1"/>
                <w:sz w:val="26"/>
                <w:szCs w:val="26"/>
                <w:lang w:val="en-US"/>
              </w:rPr>
              <w:t>Văn bản quy định hiện hành:</w:t>
            </w:r>
          </w:p>
          <w:p w:rsidR="00BD4F2A" w:rsidRPr="00B665B6" w:rsidRDefault="009A23BC" w:rsidP="00B665B6">
            <w:pPr>
              <w:spacing w:after="60"/>
              <w:ind w:left="57" w:right="57"/>
              <w:jc w:val="both"/>
              <w:rPr>
                <w:rFonts w:ascii="Times New Roman" w:hAnsi="Times New Roman" w:cs="Times New Roman"/>
                <w:b/>
                <w:color w:val="auto"/>
                <w:sz w:val="26"/>
                <w:szCs w:val="26"/>
                <w:lang w:val="en-US" w:eastAsia="en-US"/>
              </w:rPr>
            </w:pPr>
            <w:r w:rsidRPr="00B665B6">
              <w:rPr>
                <w:rFonts w:ascii="Times New Roman" w:hAnsi="Times New Roman" w:cs="Times New Roman"/>
                <w:b/>
                <w:bCs/>
                <w:color w:val="000000" w:themeColor="text1"/>
                <w:sz w:val="26"/>
                <w:szCs w:val="26"/>
              </w:rPr>
              <w:t>Quyết định số 22/2020/QĐ-UBND ngày 25/08/2020 của UBND tỉnh Cao Bằng quy định về phân cấp thẩm quyền ban hành tiêu chuẩn, định mức sử dụng máy móc, thiết bị chuyên dùng tại các cơ quan, tổ chức, đơn vị, doanh nghiệp nhà nước thuộc phạm vị quản lý của tỉnh Cao Bằng</w:t>
            </w:r>
          </w:p>
        </w:tc>
        <w:tc>
          <w:tcPr>
            <w:tcW w:w="1795" w:type="pct"/>
            <w:shd w:val="clear" w:color="auto" w:fill="FFFFFF"/>
            <w:vAlign w:val="center"/>
          </w:tcPr>
          <w:p w:rsidR="00BD4F2A" w:rsidRPr="00B665B6" w:rsidRDefault="009A23BC" w:rsidP="00B665B6">
            <w:pPr>
              <w:pStyle w:val="NormalWeb"/>
              <w:spacing w:before="0" w:beforeAutospacing="0" w:after="60" w:afterAutospacing="0"/>
              <w:ind w:left="57" w:right="57"/>
              <w:jc w:val="both"/>
              <w:rPr>
                <w:b/>
                <w:bCs/>
                <w:color w:val="000000" w:themeColor="text1"/>
                <w:sz w:val="26"/>
                <w:szCs w:val="26"/>
              </w:rPr>
            </w:pPr>
            <w:r w:rsidRPr="00B665B6">
              <w:rPr>
                <w:b/>
                <w:sz w:val="26"/>
                <w:szCs w:val="26"/>
              </w:rPr>
              <w:t xml:space="preserve">Quyết định </w:t>
            </w:r>
            <w:r w:rsidRPr="00B665B6">
              <w:rPr>
                <w:b/>
                <w:color w:val="000000" w:themeColor="text1"/>
                <w:sz w:val="26"/>
                <w:szCs w:val="26"/>
              </w:rPr>
              <w:t xml:space="preserve">phân cấp thẩm quyền quyết định </w:t>
            </w:r>
            <w:r w:rsidR="00F4657D" w:rsidRPr="00B665B6">
              <w:rPr>
                <w:b/>
                <w:sz w:val="26"/>
                <w:szCs w:val="26"/>
              </w:rPr>
              <w:t xml:space="preserve">phân cấp thẩm quyền quyết định bổ sung số lượng máy móc, thiết bị; điều chỉnh mức giá máy móc, thiết bị; </w:t>
            </w:r>
            <w:r w:rsidR="00F4657D" w:rsidRPr="00B665B6">
              <w:rPr>
                <w:b/>
                <w:color w:val="000000" w:themeColor="text1"/>
                <w:sz w:val="26"/>
                <w:szCs w:val="26"/>
              </w:rPr>
              <w:t>tiêu chuẩn, định mức máy móc thiết bị chuyên dùng (không bao gồm máy móc, thiết bị chuyên dùng trong lĩnh vực y tế, giáo dục và đào tạo)</w:t>
            </w:r>
            <w:r w:rsidRPr="00B665B6">
              <w:rPr>
                <w:b/>
                <w:bCs/>
                <w:color w:val="000000" w:themeColor="text1"/>
                <w:sz w:val="26"/>
                <w:szCs w:val="26"/>
              </w:rPr>
              <w:t xml:space="preserve"> </w:t>
            </w:r>
            <w:r w:rsidR="00F4657D" w:rsidRPr="00B665B6">
              <w:rPr>
                <w:b/>
                <w:color w:val="000000" w:themeColor="text1"/>
                <w:sz w:val="26"/>
                <w:szCs w:val="26"/>
              </w:rPr>
              <w:t xml:space="preserve">tại </w:t>
            </w:r>
            <w:r w:rsidR="00F4657D" w:rsidRPr="00B665B6">
              <w:rPr>
                <w:b/>
                <w:bCs/>
                <w:color w:val="000000" w:themeColor="text1"/>
                <w:sz w:val="26"/>
                <w:szCs w:val="26"/>
              </w:rPr>
              <w:t xml:space="preserve">các cơ quan, tổ chức, đơn vị thuộc phạm vi quản lý của tỉnh Cao Bằng </w:t>
            </w:r>
            <w:r w:rsidRPr="00B665B6">
              <w:rPr>
                <w:b/>
                <w:bCs/>
                <w:color w:val="000000" w:themeColor="text1"/>
                <w:sz w:val="26"/>
                <w:szCs w:val="26"/>
              </w:rPr>
              <w:t>thuộc phạm vi quản lý của tỉnh Cao Bằng</w:t>
            </w:r>
          </w:p>
        </w:tc>
        <w:tc>
          <w:tcPr>
            <w:tcW w:w="817" w:type="pct"/>
            <w:shd w:val="clear" w:color="auto" w:fill="FFFFFF"/>
            <w:vAlign w:val="center"/>
          </w:tcPr>
          <w:p w:rsidR="00BD4F2A" w:rsidRPr="002B4DC6" w:rsidRDefault="002B4DC6" w:rsidP="00132362">
            <w:pPr>
              <w:ind w:right="41" w:firstLine="62"/>
              <w:jc w:val="center"/>
              <w:rPr>
                <w:rFonts w:ascii="Times New Roman" w:hAnsi="Times New Roman" w:cs="Times New Roman"/>
                <w:b/>
                <w:bCs/>
                <w:lang w:val="en-US"/>
              </w:rPr>
            </w:pPr>
            <w:r>
              <w:rPr>
                <w:rFonts w:ascii="Times New Roman" w:hAnsi="Times New Roman" w:cs="Times New Roman"/>
                <w:b/>
                <w:bCs/>
                <w:lang w:val="en-US"/>
              </w:rPr>
              <w:t>Thuyết minh</w:t>
            </w:r>
          </w:p>
        </w:tc>
      </w:tr>
      <w:tr w:rsidR="00E477D8" w:rsidRPr="00132362" w:rsidTr="00132362">
        <w:trPr>
          <w:trHeight w:val="20"/>
          <w:jc w:val="center"/>
        </w:trPr>
        <w:tc>
          <w:tcPr>
            <w:tcW w:w="2388" w:type="pct"/>
            <w:shd w:val="clear" w:color="auto" w:fill="FFFFFF"/>
          </w:tcPr>
          <w:p w:rsidR="00436245" w:rsidRPr="00B42647" w:rsidRDefault="00436245" w:rsidP="00B665B6">
            <w:pPr>
              <w:pStyle w:val="NormalWeb"/>
              <w:spacing w:before="0" w:beforeAutospacing="0" w:after="60" w:afterAutospacing="0"/>
              <w:ind w:left="57" w:right="57" w:firstLine="720"/>
              <w:jc w:val="both"/>
              <w:rPr>
                <w:b/>
                <w:bCs/>
                <w:color w:val="000000" w:themeColor="text1"/>
                <w:sz w:val="26"/>
                <w:szCs w:val="26"/>
              </w:rPr>
            </w:pPr>
            <w:r w:rsidRPr="00B42647">
              <w:rPr>
                <w:b/>
                <w:bCs/>
                <w:color w:val="000000" w:themeColor="text1"/>
                <w:sz w:val="26"/>
                <w:szCs w:val="26"/>
              </w:rPr>
              <w:t>Điều 1. Phạm vi điều chỉnh</w:t>
            </w:r>
          </w:p>
          <w:p w:rsidR="009A23BC" w:rsidRPr="00B42647" w:rsidRDefault="009A23BC" w:rsidP="00B665B6">
            <w:pPr>
              <w:spacing w:after="60"/>
              <w:ind w:left="57" w:right="57"/>
              <w:jc w:val="both"/>
              <w:rPr>
                <w:rFonts w:ascii="Times New Roman" w:hAnsi="Times New Roman" w:cs="Times New Roman"/>
                <w:sz w:val="26"/>
                <w:szCs w:val="26"/>
              </w:rPr>
            </w:pPr>
            <w:r w:rsidRPr="00B42647">
              <w:rPr>
                <w:rFonts w:ascii="Times New Roman" w:hAnsi="Times New Roman" w:cs="Times New Roman"/>
                <w:sz w:val="26"/>
                <w:szCs w:val="26"/>
              </w:rPr>
              <w:t>Quyết định này quy định về phân cấp thẩm quyền ban hành tiêu chuẩn, định mức sử dụng máy móc, thiết bị chuyên dùng (số lượng, chủng loại) của các cơ quan, tổ chức, đơn vị thuộc phạm vi quản lý của tỉnh Cao Bằng.</w:t>
            </w:r>
          </w:p>
          <w:p w:rsidR="00E477D8" w:rsidRPr="00B42647" w:rsidRDefault="00E477D8" w:rsidP="00B665B6">
            <w:pPr>
              <w:spacing w:after="60"/>
              <w:ind w:left="57" w:right="57"/>
              <w:jc w:val="both"/>
              <w:rPr>
                <w:rFonts w:ascii="Times New Roman" w:hAnsi="Times New Roman" w:cs="Times New Roman"/>
                <w:bCs/>
                <w:sz w:val="26"/>
                <w:szCs w:val="26"/>
                <w:lang w:val="en-US" w:bidi="vi-VN"/>
              </w:rPr>
            </w:pPr>
          </w:p>
        </w:tc>
        <w:tc>
          <w:tcPr>
            <w:tcW w:w="1795" w:type="pct"/>
            <w:shd w:val="clear" w:color="auto" w:fill="FFFFFF"/>
          </w:tcPr>
          <w:p w:rsidR="00436245" w:rsidRPr="00B42647" w:rsidRDefault="00436245" w:rsidP="00B665B6">
            <w:pPr>
              <w:pStyle w:val="NormalWeb"/>
              <w:spacing w:before="0" w:beforeAutospacing="0" w:after="60" w:afterAutospacing="0"/>
              <w:ind w:right="57"/>
              <w:jc w:val="both"/>
              <w:rPr>
                <w:b/>
                <w:bCs/>
                <w:color w:val="000000" w:themeColor="text1"/>
                <w:sz w:val="26"/>
                <w:szCs w:val="26"/>
              </w:rPr>
            </w:pPr>
            <w:r w:rsidRPr="00B42647">
              <w:rPr>
                <w:b/>
                <w:bCs/>
                <w:color w:val="000000" w:themeColor="text1"/>
                <w:sz w:val="26"/>
                <w:szCs w:val="26"/>
              </w:rPr>
              <w:t>Điều 1. Phạm vi điều chỉnh</w:t>
            </w:r>
          </w:p>
          <w:p w:rsidR="009A23BC" w:rsidRPr="00B42647" w:rsidRDefault="009A23BC" w:rsidP="00B665B6">
            <w:pPr>
              <w:pStyle w:val="NormalWeb"/>
              <w:spacing w:before="0" w:beforeAutospacing="0" w:after="60" w:afterAutospacing="0"/>
              <w:ind w:left="57" w:right="57"/>
              <w:jc w:val="both"/>
              <w:rPr>
                <w:bCs/>
                <w:color w:val="000000" w:themeColor="text1"/>
                <w:sz w:val="26"/>
                <w:szCs w:val="26"/>
              </w:rPr>
            </w:pPr>
            <w:r w:rsidRPr="00B42647">
              <w:rPr>
                <w:bCs/>
                <w:color w:val="000000" w:themeColor="text1"/>
                <w:sz w:val="26"/>
                <w:szCs w:val="26"/>
              </w:rPr>
              <w:t>1.</w:t>
            </w:r>
            <w:r w:rsidR="00B42647" w:rsidRPr="00B42647">
              <w:rPr>
                <w:rStyle w:val="Bodytext"/>
                <w:spacing w:val="-2"/>
                <w:sz w:val="26"/>
                <w:szCs w:val="26"/>
              </w:rPr>
              <w:t xml:space="preserve"> </w:t>
            </w:r>
            <w:r w:rsidR="00B42647" w:rsidRPr="00B42647">
              <w:rPr>
                <w:rStyle w:val="fontstyle01"/>
                <w:spacing w:val="-2"/>
                <w:sz w:val="26"/>
                <w:szCs w:val="26"/>
              </w:rPr>
              <w:t xml:space="preserve">Quyết định này quy định phân cấp thẩm quyền quyết định bổ sung số lượng máy móc, thiết bị quy định tại khoản 1 Điều 4 Quyết định số 15/2025/QĐ-TTg ngày 14 tháng 6 năm 2025 của Thủ tướng Chính phủ và bổ sung các loại máy móc, thiết bị khác ngoài máy móc, thiết bị theo quy định tại khoản 1 Điều 4 Quyết </w:t>
            </w:r>
            <w:r w:rsidR="00B42647" w:rsidRPr="00B42647">
              <w:rPr>
                <w:rStyle w:val="fontstyle01"/>
                <w:spacing w:val="-2"/>
                <w:sz w:val="26"/>
                <w:szCs w:val="26"/>
              </w:rPr>
              <w:lastRenderedPageBreak/>
              <w:t>định số 15/2025/QĐ-TTg; phân cấp thẩm quyền quyết định điều chỉnh mức giá máy móc, thiết bị đối với tiêu chuẩn, định mức sử dụng máy móc, thiết bị phục vụ công tác các chức danh, tiêu chuẩn, định mức sử dụng máy móc, thiết bị phục vụ hoạt động chung và máy móc thiết bị chuyên dùng (</w:t>
            </w:r>
            <w:r w:rsidR="00B42647" w:rsidRPr="00B42647">
              <w:rPr>
                <w:rStyle w:val="fontstyle21"/>
                <w:spacing w:val="-2"/>
                <w:sz w:val="26"/>
                <w:szCs w:val="26"/>
              </w:rPr>
              <w:t>không bao gồm máy móc, thiết bị chuyên dùng trong lĩnh vực y tế, giáo dục và đào tạo</w:t>
            </w:r>
            <w:r w:rsidR="00B42647" w:rsidRPr="00B42647">
              <w:rPr>
                <w:rStyle w:val="fontstyle01"/>
                <w:spacing w:val="-2"/>
                <w:sz w:val="26"/>
                <w:szCs w:val="26"/>
              </w:rPr>
              <w:t>) của các cơ quan, tổ chức, đơn vị thuộc phạm vi quản lý của tỉnh Cao Bằng.</w:t>
            </w:r>
            <w:r w:rsidRPr="00B42647">
              <w:rPr>
                <w:bCs/>
                <w:color w:val="000000" w:themeColor="text1"/>
                <w:sz w:val="26"/>
                <w:szCs w:val="26"/>
              </w:rPr>
              <w:t>.</w:t>
            </w:r>
          </w:p>
          <w:p w:rsidR="003F14D8" w:rsidRPr="00B42647" w:rsidRDefault="009A23BC" w:rsidP="00B42647">
            <w:pPr>
              <w:pStyle w:val="NormalWeb"/>
              <w:spacing w:before="0" w:beforeAutospacing="0" w:after="60" w:afterAutospacing="0"/>
              <w:ind w:left="57" w:right="57"/>
              <w:jc w:val="both"/>
              <w:rPr>
                <w:bCs/>
                <w:color w:val="000000" w:themeColor="text1"/>
                <w:sz w:val="26"/>
                <w:szCs w:val="26"/>
              </w:rPr>
            </w:pPr>
            <w:r w:rsidRPr="00B42647">
              <w:rPr>
                <w:bCs/>
                <w:color w:val="000000" w:themeColor="text1"/>
                <w:sz w:val="26"/>
                <w:szCs w:val="26"/>
              </w:rPr>
              <w:t xml:space="preserve">2. </w:t>
            </w:r>
            <w:r w:rsidR="00B42647" w:rsidRPr="00B42647">
              <w:rPr>
                <w:bCs/>
                <w:color w:val="000000" w:themeColor="text1"/>
                <w:spacing w:val="-2"/>
                <w:sz w:val="26"/>
                <w:szCs w:val="26"/>
              </w:rPr>
              <w:t>Những nội dung</w:t>
            </w:r>
            <w:r w:rsidR="00B42647" w:rsidRPr="00B42647">
              <w:rPr>
                <w:bCs/>
                <w:color w:val="000000" w:themeColor="text1"/>
                <w:sz w:val="26"/>
                <w:szCs w:val="26"/>
              </w:rPr>
              <w:t xml:space="preserve"> </w:t>
            </w:r>
            <w:r w:rsidR="00B42647" w:rsidRPr="00B42647">
              <w:rPr>
                <w:color w:val="000000" w:themeColor="text1"/>
                <w:sz w:val="26"/>
                <w:szCs w:val="26"/>
              </w:rPr>
              <w:t>khác</w:t>
            </w:r>
            <w:r w:rsidR="00B42647" w:rsidRPr="00B42647">
              <w:rPr>
                <w:bCs/>
                <w:color w:val="000000" w:themeColor="text1"/>
                <w:sz w:val="26"/>
                <w:szCs w:val="26"/>
              </w:rPr>
              <w:t xml:space="preserve"> liên quan đến phân cấp thẩm quyền </w:t>
            </w:r>
            <w:r w:rsidR="00B42647" w:rsidRPr="00B42647">
              <w:rPr>
                <w:color w:val="000000" w:themeColor="text1"/>
                <w:sz w:val="26"/>
                <w:szCs w:val="26"/>
              </w:rPr>
              <w:t>quyết định tiêu chuẩn, định mức máy móc thiết bị phục vụ công tác các chức danh, phục vụ hoạt động chung, máy móc, thiết bị chuyên dùng</w:t>
            </w:r>
            <w:r w:rsidR="00B42647" w:rsidRPr="00B42647">
              <w:rPr>
                <w:bCs/>
                <w:color w:val="000000" w:themeColor="text1"/>
                <w:sz w:val="26"/>
                <w:szCs w:val="26"/>
              </w:rPr>
              <w:t xml:space="preserve"> không quy định tại Quyết định này được thực hiện theo quy định tại </w:t>
            </w:r>
            <w:r w:rsidR="00B42647" w:rsidRPr="00B42647">
              <w:rPr>
                <w:sz w:val="26"/>
                <w:szCs w:val="26"/>
                <w:lang w:val="pt-BR"/>
              </w:rPr>
              <w:t>Quyết định số 15/2025/QĐ-TTg ngày 14 tháng 6 năm 2025 của</w:t>
            </w:r>
            <w:r w:rsidR="00B42647" w:rsidRPr="00B42647">
              <w:rPr>
                <w:sz w:val="26"/>
                <w:szCs w:val="26"/>
                <w:lang w:val="vi-VN"/>
              </w:rPr>
              <w:t xml:space="preserve"> </w:t>
            </w:r>
            <w:r w:rsidR="00B42647" w:rsidRPr="00B42647">
              <w:rPr>
                <w:color w:val="000000" w:themeColor="text1"/>
                <w:sz w:val="26"/>
                <w:szCs w:val="26"/>
              </w:rPr>
              <w:t>Thủ tướng Chính phủ</w:t>
            </w:r>
            <w:r w:rsidR="00B42647" w:rsidRPr="00B42647">
              <w:rPr>
                <w:sz w:val="26"/>
                <w:szCs w:val="26"/>
                <w:lang w:val="pt-BR"/>
              </w:rPr>
              <w:t xml:space="preserve"> quy định tiêu chuẩn, định mức sử dụng máy móc, thiết bị </w:t>
            </w:r>
            <w:r w:rsidR="00B42647" w:rsidRPr="00B42647">
              <w:rPr>
                <w:color w:val="000000" w:themeColor="text1"/>
                <w:spacing w:val="-2"/>
                <w:sz w:val="26"/>
                <w:szCs w:val="26"/>
              </w:rPr>
              <w:t>(sau đây gọi là Quyết định số 15/2025/QĐ-TTg)</w:t>
            </w:r>
            <w:r w:rsidR="00B42647" w:rsidRPr="00B42647">
              <w:rPr>
                <w:bCs/>
                <w:color w:val="000000" w:themeColor="text1"/>
                <w:sz w:val="26"/>
                <w:szCs w:val="26"/>
              </w:rPr>
              <w:t xml:space="preserve"> và các quy định pháp luật khác có liên quan</w:t>
            </w:r>
            <w:r w:rsidRPr="00B42647">
              <w:rPr>
                <w:bCs/>
                <w:color w:val="000000" w:themeColor="text1"/>
                <w:sz w:val="26"/>
                <w:szCs w:val="26"/>
              </w:rPr>
              <w:t>.</w:t>
            </w:r>
          </w:p>
        </w:tc>
        <w:tc>
          <w:tcPr>
            <w:tcW w:w="817" w:type="pct"/>
            <w:shd w:val="clear" w:color="auto" w:fill="FFFFFF"/>
          </w:tcPr>
          <w:p w:rsidR="00E477D8" w:rsidRPr="00132362" w:rsidRDefault="00C61455" w:rsidP="00F4608E">
            <w:pPr>
              <w:tabs>
                <w:tab w:val="left" w:pos="130"/>
              </w:tabs>
              <w:ind w:left="130" w:right="113"/>
              <w:jc w:val="both"/>
              <w:rPr>
                <w:rFonts w:ascii="Times New Roman" w:hAnsi="Times New Roman" w:cs="Times New Roman"/>
                <w:bCs/>
                <w:lang w:val="nl-NL" w:bidi="vi-VN"/>
              </w:rPr>
            </w:pPr>
            <w:r>
              <w:rPr>
                <w:rFonts w:ascii="Times New Roman" w:hAnsi="Times New Roman" w:cs="Times New Roman"/>
                <w:bCs/>
                <w:lang w:val="nl-NL" w:bidi="vi-VN"/>
              </w:rPr>
              <w:lastRenderedPageBreak/>
              <w:t>Điều chỉnh theo quy định Quyết định 15/2025/QĐ-TTg</w:t>
            </w:r>
          </w:p>
        </w:tc>
      </w:tr>
      <w:tr w:rsidR="00DF63F2" w:rsidRPr="00132362" w:rsidTr="00132362">
        <w:trPr>
          <w:trHeight w:val="20"/>
          <w:jc w:val="center"/>
        </w:trPr>
        <w:tc>
          <w:tcPr>
            <w:tcW w:w="2388" w:type="pct"/>
            <w:shd w:val="clear" w:color="auto" w:fill="FFFFFF"/>
          </w:tcPr>
          <w:p w:rsidR="00436245" w:rsidRPr="00B665B6" w:rsidRDefault="00436245" w:rsidP="00B665B6">
            <w:pPr>
              <w:pStyle w:val="NormalWeb"/>
              <w:spacing w:before="0" w:beforeAutospacing="0" w:after="60" w:afterAutospacing="0"/>
              <w:ind w:right="57"/>
              <w:jc w:val="both"/>
              <w:rPr>
                <w:b/>
                <w:bCs/>
                <w:color w:val="000000" w:themeColor="text1"/>
                <w:sz w:val="26"/>
                <w:szCs w:val="26"/>
              </w:rPr>
            </w:pPr>
            <w:r w:rsidRPr="00B665B6">
              <w:rPr>
                <w:b/>
                <w:bCs/>
                <w:color w:val="000000" w:themeColor="text1"/>
                <w:sz w:val="26"/>
                <w:szCs w:val="26"/>
              </w:rPr>
              <w:lastRenderedPageBreak/>
              <w:t>Đối tượng áp dụng</w:t>
            </w:r>
          </w:p>
          <w:p w:rsidR="009A23BC" w:rsidRPr="00B665B6" w:rsidRDefault="009A23BC"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a) Cơ quan nhà nước, cơ quan Đảng Cộng sản Việt Nam, các tổ chức chính trị - xã hội được ngân sách nhà nước đảm bảo kinh phí hoạt động.</w:t>
            </w:r>
          </w:p>
          <w:p w:rsidR="009A23BC" w:rsidRPr="00B665B6" w:rsidRDefault="009A23BC"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b) Các đơn vị sự nghiệp công lập (trừ đơn vị sự nghiệp công lập tự đảm bảo chi thường xuyên và chi đầu tư), Ban Quản lý dự án sử dụng vốn nhà nước.</w:t>
            </w:r>
          </w:p>
          <w:p w:rsidR="009A23BC" w:rsidRPr="00B665B6" w:rsidRDefault="009A23BC" w:rsidP="00B665B6">
            <w:pPr>
              <w:tabs>
                <w:tab w:val="left" w:pos="5460"/>
              </w:tabs>
              <w:spacing w:after="60"/>
              <w:ind w:left="57" w:right="57"/>
              <w:jc w:val="both"/>
              <w:rPr>
                <w:sz w:val="26"/>
                <w:szCs w:val="26"/>
              </w:rPr>
            </w:pPr>
            <w:r w:rsidRPr="00B665B6">
              <w:rPr>
                <w:rFonts w:ascii="Times New Roman" w:hAnsi="Times New Roman" w:cs="Times New Roman"/>
                <w:sz w:val="26"/>
                <w:szCs w:val="26"/>
              </w:rPr>
              <w:lastRenderedPageBreak/>
              <w:t>c) Các cơ quan, tổ chức, cá nhân khác có liên quan.</w:t>
            </w:r>
            <w:r w:rsidRPr="00B665B6">
              <w:rPr>
                <w:sz w:val="26"/>
                <w:szCs w:val="26"/>
              </w:rPr>
              <w:tab/>
            </w:r>
          </w:p>
          <w:p w:rsidR="0020193D" w:rsidRPr="00B665B6" w:rsidRDefault="0020193D" w:rsidP="00B665B6">
            <w:pPr>
              <w:spacing w:after="60"/>
              <w:ind w:left="57" w:right="57"/>
              <w:jc w:val="both"/>
              <w:rPr>
                <w:rFonts w:ascii="Times New Roman" w:hAnsi="Times New Roman" w:cs="Times New Roman"/>
                <w:b/>
                <w:bCs/>
                <w:sz w:val="26"/>
                <w:szCs w:val="26"/>
                <w:lang w:val="en-US" w:bidi="vi-VN"/>
              </w:rPr>
            </w:pPr>
          </w:p>
        </w:tc>
        <w:tc>
          <w:tcPr>
            <w:tcW w:w="1795" w:type="pct"/>
            <w:shd w:val="clear" w:color="auto" w:fill="FFFFFF"/>
          </w:tcPr>
          <w:p w:rsidR="00436245" w:rsidRPr="00B665B6" w:rsidRDefault="00436245" w:rsidP="00B42647">
            <w:pPr>
              <w:pStyle w:val="NormalWeb"/>
              <w:spacing w:before="0" w:beforeAutospacing="0" w:after="60" w:afterAutospacing="0"/>
              <w:ind w:right="57"/>
              <w:jc w:val="both"/>
              <w:rPr>
                <w:b/>
                <w:bCs/>
                <w:color w:val="000000" w:themeColor="text1"/>
                <w:sz w:val="26"/>
                <w:szCs w:val="26"/>
              </w:rPr>
            </w:pPr>
            <w:r w:rsidRPr="00B665B6">
              <w:rPr>
                <w:b/>
                <w:bCs/>
                <w:color w:val="000000" w:themeColor="text1"/>
                <w:sz w:val="26"/>
                <w:szCs w:val="26"/>
              </w:rPr>
              <w:lastRenderedPageBreak/>
              <w:t>Điều 2. Đối tượng áp dụng</w:t>
            </w:r>
          </w:p>
          <w:p w:rsidR="00C61455" w:rsidRPr="00B42647" w:rsidRDefault="00C61455" w:rsidP="00B665B6">
            <w:pPr>
              <w:pStyle w:val="NormalWeb"/>
              <w:shd w:val="clear" w:color="auto" w:fill="FFFFFF"/>
              <w:spacing w:before="0" w:beforeAutospacing="0" w:after="60" w:afterAutospacing="0"/>
              <w:ind w:left="57" w:right="57"/>
              <w:jc w:val="both"/>
              <w:rPr>
                <w:color w:val="000000"/>
                <w:sz w:val="26"/>
                <w:szCs w:val="26"/>
              </w:rPr>
            </w:pPr>
            <w:r w:rsidRPr="00B42647">
              <w:rPr>
                <w:color w:val="000000"/>
                <w:sz w:val="26"/>
                <w:szCs w:val="26"/>
              </w:rPr>
              <w:t xml:space="preserve">1. </w:t>
            </w:r>
            <w:r w:rsidR="00B42647" w:rsidRPr="00B42647">
              <w:rPr>
                <w:sz w:val="26"/>
                <w:szCs w:val="26"/>
              </w:rPr>
              <w:t>Các sở, ban, ngành; Ủy ban nhân dân các xã, phường (không bao gồm cơ quan Đảng Cộng sản Việt Nam, Mặt trận Tổ quốc Việt Nam và các tổ chức chính trị - xã hội trực thuộc, đơn vị sự nghiệp công lập tự đảm bảo chi thường xuyên và chi đầu tư)</w:t>
            </w:r>
            <w:r w:rsidRPr="00B42647">
              <w:rPr>
                <w:color w:val="000000"/>
                <w:sz w:val="26"/>
                <w:szCs w:val="26"/>
              </w:rPr>
              <w:t>;</w:t>
            </w:r>
          </w:p>
          <w:p w:rsidR="0020193D" w:rsidRPr="00B665B6" w:rsidRDefault="00C61455" w:rsidP="00B665B6">
            <w:pPr>
              <w:pStyle w:val="NormalWeb"/>
              <w:shd w:val="clear" w:color="auto" w:fill="FFFFFF"/>
              <w:spacing w:before="0" w:beforeAutospacing="0" w:after="60" w:afterAutospacing="0"/>
              <w:ind w:left="57" w:right="57"/>
              <w:jc w:val="both"/>
              <w:rPr>
                <w:color w:val="000000"/>
                <w:sz w:val="26"/>
                <w:szCs w:val="26"/>
              </w:rPr>
            </w:pPr>
            <w:r w:rsidRPr="00B665B6">
              <w:rPr>
                <w:color w:val="000000"/>
                <w:sz w:val="26"/>
                <w:szCs w:val="26"/>
              </w:rPr>
              <w:t xml:space="preserve">2. Tổ chức, cá nhân có liên quan đến việc xác </w:t>
            </w:r>
            <w:r w:rsidRPr="00B665B6">
              <w:rPr>
                <w:color w:val="000000"/>
                <w:sz w:val="26"/>
                <w:szCs w:val="26"/>
              </w:rPr>
              <w:lastRenderedPageBreak/>
              <w:t>định, quyết định, áp dụng tiêu chuẩn, định mức sử dụng máy móc, thiết bị.</w:t>
            </w:r>
          </w:p>
        </w:tc>
        <w:tc>
          <w:tcPr>
            <w:tcW w:w="817" w:type="pct"/>
            <w:shd w:val="clear" w:color="auto" w:fill="FFFFFF"/>
          </w:tcPr>
          <w:p w:rsidR="0020193D" w:rsidRPr="00C61455" w:rsidRDefault="00C61455" w:rsidP="00132362">
            <w:pPr>
              <w:pStyle w:val="BodyTextIndent3"/>
              <w:spacing w:after="0"/>
              <w:ind w:left="142" w:right="171"/>
              <w:jc w:val="both"/>
              <w:rPr>
                <w:rFonts w:ascii="Times New Roman" w:hAnsi="Times New Roman"/>
                <w:iCs/>
                <w:spacing w:val="6"/>
                <w:sz w:val="24"/>
                <w:szCs w:val="24"/>
                <w:lang w:val="nl-NL"/>
              </w:rPr>
            </w:pPr>
            <w:r w:rsidRPr="00C61455">
              <w:rPr>
                <w:rFonts w:ascii="Times New Roman" w:hAnsi="Times New Roman"/>
                <w:bCs/>
                <w:sz w:val="24"/>
                <w:szCs w:val="24"/>
                <w:lang w:val="nl-NL" w:bidi="vi-VN"/>
              </w:rPr>
              <w:lastRenderedPageBreak/>
              <w:t>Điều chỉnh theo quy định Quyết định 15/2025/QĐ-TTg</w:t>
            </w:r>
          </w:p>
        </w:tc>
      </w:tr>
      <w:tr w:rsidR="00DF63F2" w:rsidRPr="00132362" w:rsidTr="00132362">
        <w:trPr>
          <w:trHeight w:val="20"/>
          <w:jc w:val="center"/>
        </w:trPr>
        <w:tc>
          <w:tcPr>
            <w:tcW w:w="2388" w:type="pct"/>
            <w:shd w:val="clear" w:color="auto" w:fill="FFFFFF"/>
          </w:tcPr>
          <w:p w:rsidR="00C61455" w:rsidRPr="00B665B6" w:rsidRDefault="00C61455" w:rsidP="00B665B6">
            <w:pPr>
              <w:spacing w:after="60"/>
              <w:ind w:left="57" w:right="57"/>
              <w:jc w:val="both"/>
              <w:rPr>
                <w:rFonts w:ascii="Times New Roman" w:hAnsi="Times New Roman" w:cs="Times New Roman"/>
                <w:sz w:val="26"/>
                <w:szCs w:val="26"/>
              </w:rPr>
            </w:pPr>
            <w:bookmarkStart w:id="1" w:name="dieu_2"/>
            <w:r w:rsidRPr="00B665B6">
              <w:rPr>
                <w:rFonts w:ascii="Times New Roman" w:hAnsi="Times New Roman" w:cs="Times New Roman"/>
                <w:b/>
                <w:bCs/>
                <w:sz w:val="26"/>
                <w:szCs w:val="26"/>
              </w:rPr>
              <w:lastRenderedPageBreak/>
              <w:t>Điều 2. Nguyên tắc ban hành và áp dụng tiêu chuẩn, định mức sử dụng máy móc, thiết bị chuyên dùng</w:t>
            </w:r>
            <w:bookmarkEnd w:id="1"/>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1. Máy móc, thiết bị chuyên dùng đủ tiêu chuẩn tài sản cố định theo quy định của chế độ quản lý, tính hao mòn tài sản cố định tại cơ quan, tổ chức, đơn vị phải được ban hành tiêu chuẩn, định mức sử dụng.</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2. Máy móc, thiết bị chuyên dùng là máy móc, thiết bị có yêu cầu về tính năng, dung lượng, cấu hình cao hơn máy móc, thiết bị văn phòng phổ biến và máy móc, thiết bị khác phục vụ nhiệm vụ đặc thù của cơ quan, tổ chức, đơn vị.</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3. Giá mua máy móc, thiết bị chuyên dùng quy định tại Điều 3 Quyết định này là giá mua phổ biến trên thị trường (giá đã được các nhà cung cấp niêm yết, thông báo trên thị trường; giá đã có chứng thư thẩm định giá) hoặc tham khảo giá mua của kỳ trước, đã bao gồm các loại thuế phải nộp theo quy định của pháp luật.</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4. Việc ban hành tiêu chuẩn, định mức sử dụng máy móc, thiết bị chuyên dùng phải đảm bảo đúng thẩm quyền được giao, hiệu quả, phù hợp với chức năng nhiệm vụ được giao và nhu cầu sử dụng tài sản tại các cơ quan tổ chức, đơn vị. Thủ trưởng cơ quan, tổ chức, đơn vị được Ủy ban nhân dân tỉnh phân cấp thẩm quyền ban hành tiêu chuẩn, định mức sử dụng máy móc, thiết bị chuyên dùng chịu trách nhiệm trước Ủy ban nhân dân tỉnh về quyết định của mình.</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 xml:space="preserve">5. Quyết định ban hành tiêu chuẩn, định mức sử dụng máy móc, thiết bị chuyên dùng được công khai trên Cổng thông tin điện tử tỉnh và Trang thông tin điện tử của cơ quan, tổ chức, đơn vị và được gửi cơ quan Kho bạc Nhà nước cùng </w:t>
            </w:r>
            <w:r w:rsidRPr="00B665B6">
              <w:rPr>
                <w:rFonts w:ascii="Times New Roman" w:hAnsi="Times New Roman" w:cs="Times New Roman"/>
                <w:sz w:val="26"/>
                <w:szCs w:val="26"/>
              </w:rPr>
              <w:lastRenderedPageBreak/>
              <w:t>cấp để thực hiện kiểm soát chi và thanh toán khi cơ quan, tổ chức, đơn vị thực hiện mua sắm.</w:t>
            </w:r>
          </w:p>
          <w:p w:rsidR="00C61455" w:rsidRPr="00B665B6" w:rsidRDefault="00C61455" w:rsidP="00B665B6">
            <w:pPr>
              <w:spacing w:after="60"/>
              <w:ind w:left="57" w:right="57"/>
              <w:jc w:val="both"/>
              <w:rPr>
                <w:rFonts w:ascii="Times New Roman" w:hAnsi="Times New Roman" w:cs="Times New Roman"/>
                <w:sz w:val="26"/>
                <w:szCs w:val="26"/>
              </w:rPr>
            </w:pPr>
            <w:bookmarkStart w:id="2" w:name="dieu_3"/>
            <w:r w:rsidRPr="00B665B6">
              <w:rPr>
                <w:rFonts w:ascii="Times New Roman" w:hAnsi="Times New Roman" w:cs="Times New Roman"/>
                <w:b/>
                <w:bCs/>
                <w:sz w:val="26"/>
                <w:szCs w:val="26"/>
              </w:rPr>
              <w:t>Điều 3. Thẩm quyền ban hành tiêu chuẩn, định mức sử dụng máy móc, thiết bị chuyên dùng (trừ máy móc, thiết bị chuyên dùng trong lĩnh vực y tế, giáo dục và đào tạo)</w:t>
            </w:r>
            <w:bookmarkEnd w:id="2"/>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1. Đối với máy móc, thiết bị chuyên dùng có giá mua từ 500 triệu đồng trở lên/01 đơn vị tài sản: Chủ tịch UBND tỉnh ban hành tiêu chuẩn, định mức sử dụng máy móc, thiết bị chuyên dùng (chủng loại, số lượng) trang bị cho các cơ quan, tổ chức, đơn vị theo đề nghị của Thủ trưởng cơ quan, đơn vị và ý kiến thống nhất bằng văn bản của Sở Tài chính.</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2. Đối với máy móc, thiết bị chuyên dùng có giá mua dưới 500 triệu đồng/01 đơn vị tài sản:</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a) Chánh Văn phòng Tỉnh ủy ban hành tiêu chuẩn, định mức sử dụng máy móc thiết bị chuyên dùng (chủng loại, số lượng) trang bị tại Văn phòng Tỉnh ủy, các cơ quan, đơn vị trực thuộc Tỉnh ủy theo đề nghị của Thủ trưởng cơ quan, đơn vị trực thuộc quản lý, sử dụng máy móc, thiết bị chuyên dùng.</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b) Thủ trưởng các Sở, ban, ngành hoặc Thủ trưởng đơn vị thuộc tỉnh ban hành tiêu chuẩn, định mức sử dụng máy móc thiết bị chuyên dùng (chủng loại, số lượng) trang bị tại cơ quan và các đơn vị dự toán thuộc ngân sách nhà nước cấp mình quản lý theo đề nghị của Thủ trưởng cơ quan, đơn vị trực thuộc quản lý, sử dụng máy móc, thiết bị chuyên dùng.</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 xml:space="preserve">c) Chủ tịch UBND các huyện, thành phố (gọi chung là cấp huyện) ban hành tiêu chuẩn, định mức sử dụng máy móc thiết bị chuyên dùng (chủng loại, số lượng) trang bị cho các đơn vị dự toán thuộc ngân sách nhà nước cấp huyện, thành phố, theo đề nghị của Thủ trưởng cơ quan, đơn vị trực thuộc quản lý, sử dụng máy móc, thiết bị chuyên dùng sau khi có ý kiến của </w:t>
            </w:r>
            <w:r w:rsidRPr="00B665B6">
              <w:rPr>
                <w:rFonts w:ascii="Times New Roman" w:hAnsi="Times New Roman" w:cs="Times New Roman"/>
                <w:sz w:val="26"/>
                <w:szCs w:val="26"/>
              </w:rPr>
              <w:lastRenderedPageBreak/>
              <w:t>Trưởng phòng Tài chính - Kế hoạch cấp huyện.</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b/>
                <w:bCs/>
                <w:sz w:val="26"/>
                <w:szCs w:val="26"/>
              </w:rPr>
              <w:t>Điều 4. Thẩm quyền ban hành tiêu chuẩn, định mức sử dụng máy móc, thiết bị chuyên dùng trong lĩnh vực y tế</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1. Chủ tịch UBND tỉnh ban hành tiêu chuẩn, định mức trang thiết bị y tế chuyên dùng đặc thù theo quy định tại Phụ lục 1 ban hành kèm theo Thông tư số 08/2019/TT-BYT ngày 31/05/2019 của Bộ trưởng Bộ Y tế hướng dẫn tiêu chuẩn, định mức sử dụng máy móc, thiết bị chuyên dùng thuộc lĩnh vực y tế (chủng loại, số lượng), theo đề nghị của Giám đốc Sở Y tế và ý kiến thống nhất bằng văn bản của Sở Tài chính.</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2. Giám đốc Sở Y tế ban hành tiêu chuẩn, định mức trang thiết bị y tế chuyên dùng khác theo quy định tại Điều 4 Thông tư số 08/2019/TT-BYT ngày 31/05/2019 của Bộ trưởng Bộ Y tế hướng dẫn tiêu chuẩn, định mức sử dụng máy móc, thiết bị chuyên dùng thuộc lĩnh vực y tế (chủng loại, số lượng), theo đề nghị của Thủ trưởng cơ quan, đơn vị trực thuộc quản lý, sử dụng máy móc, thiết bị chuyên dùng.</w:t>
            </w:r>
          </w:p>
          <w:p w:rsidR="00C61455" w:rsidRPr="00B665B6" w:rsidRDefault="00C61455" w:rsidP="00B665B6">
            <w:pPr>
              <w:spacing w:after="60"/>
              <w:ind w:left="57" w:right="57"/>
              <w:jc w:val="both"/>
              <w:rPr>
                <w:rFonts w:ascii="Times New Roman" w:hAnsi="Times New Roman" w:cs="Times New Roman"/>
                <w:sz w:val="26"/>
                <w:szCs w:val="26"/>
              </w:rPr>
            </w:pPr>
            <w:bookmarkStart w:id="3" w:name="dieu_5"/>
            <w:r w:rsidRPr="00B665B6">
              <w:rPr>
                <w:rFonts w:ascii="Times New Roman" w:hAnsi="Times New Roman" w:cs="Times New Roman"/>
                <w:b/>
                <w:bCs/>
                <w:sz w:val="26"/>
                <w:szCs w:val="26"/>
              </w:rPr>
              <w:t>Điều 5. Thẩm quyền ban hành tiêu chuẩn, định mức sử dụng máy móc, thiết bị chuyên dùng trong lĩnh vực giáo dục và đào tạo</w:t>
            </w:r>
            <w:bookmarkEnd w:id="3"/>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1. Đối với thiết bị trong các cơ sở giáo dục</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a) Chủ tịch UBND tỉnh ban hành tiêu chuẩn, định mức thiết bị dạy học theo quy định tại điểm a khoản 1 Điều 4 Thông tư số 16/2019/TT-BGDĐT ngày 04/10/2019 của Bộ trưởng Bộ Giáo dục và Đào tạo hướng dẫn tiêu chuẩn, định mức sử dụng máy móc, thiết bị chuyên dùng thuộc lĩnh vực giáo dục và đào tạo (chủng loại, số lượng), theo đề nghị của Giám đốc Sở Giáo dục và Đào tạo sau khi có ý kiến thống nhất bằng văn bản của Sở Tài chính.</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 xml:space="preserve">b) Giám đốc Sở Giáo dục và Đào tạo ban hành tiêu chuẩn, </w:t>
            </w:r>
            <w:r w:rsidRPr="00B665B6">
              <w:rPr>
                <w:rFonts w:ascii="Times New Roman" w:hAnsi="Times New Roman" w:cs="Times New Roman"/>
                <w:sz w:val="26"/>
                <w:szCs w:val="26"/>
              </w:rPr>
              <w:lastRenderedPageBreak/>
              <w:t>định mức thiết bị theo quy định tại điểm b khoản 1 Điều 4 Thông tư số 16/2019/TT-BGDĐT ngày 04/10/2019 của Bộ trưởng Bộ Giáo dục và Đào tạo của Bộ trưởng Bộ Giáo dục và Đào tạo hướng dẫn tiêu chuẩn, định mức sử dụng máy móc, thiết bị chuyên dùng thuộc lĩnh vực giáo dục và đào tạo (chủng loại, số lượng), theo đề nghị của Thủ trưởng cơ quan, đơn vị trực thuộc quản lý, sử dụng máy móc, thiết bị chuyên dùng.</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2. Đối với thiết bị trong các cơ sở đào tạo</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a) Giám đốc Sở Giáo dục và Đào tạo ban hành tiêu chuẩn, định mức thiết bị trong các cơ sở đào tạo thuộc phạm vi quản lý của Sở Giáo dục và Đào tạo, quy định tại Điều 5 Thông tư số 16/2019/TT-BGDĐT ngày 04/10/2019 của Bộ trưởng Bộ Giáo dục và Đào tạo hướng dẫn tiêu chuẩn, định mức sử dụng máy móc, thiết bị chuyên dùng thuộc lĩnh vực giáo dục và đào tạo (chủng loại, số lượng), theo đề nghị của Thủ trưởng cơ quan, đơn vị trực thuộc quản lý, sử dụng máy móc, thiết bị chuyên dùng.</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b) Giám đốc Sở Lao động - Thương binh và Xã hội ban hành tiêu chuẩn, định mức thiết bị trong các cơ sở đào tạo thuộc phạm vi quản lý của Sở Lao động - Thương binh và Xã hội, quy định tại Điều 5 Thông tư số 16/2019/TT-BGDĐT ngày 04/10/2019 của Bộ trưởng Bộ Giáo dục và Đào tạo hướng dẫn tiêu chuẩn, định mức sử dụng máy móc, thiết bị chuyên dùng thuộc lĩnh vực giáo dục và đào tạo (chủng loại, số lượng), theo đề nghị của Thủ trưởng cơ quan, đơn vị trực thuộc quản lý, sử dụng máy móc, thiết bị chuyên dùng.</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 xml:space="preserve">c) Chủ tịch UBND cấp huyện ban hành tiêu chuẩn, định mức thiết bị trong các cơ sở đào tạo thuộc phạm vi quản lý của cấp huyện, thành phố, quy định tại Điều 5 Thông tư số 16/2019/TT-BGDDT ngày 04/10/2019 của Bộ trưởng Bộ </w:t>
            </w:r>
            <w:r w:rsidRPr="00B665B6">
              <w:rPr>
                <w:rFonts w:ascii="Times New Roman" w:hAnsi="Times New Roman" w:cs="Times New Roman"/>
                <w:sz w:val="26"/>
                <w:szCs w:val="26"/>
              </w:rPr>
              <w:lastRenderedPageBreak/>
              <w:t>Giáo dục và Đào tạo hướng dẫn tiêu chuẩn, định mức sử dụng máy móc, thiết bị chuyên dùng thuộc lĩnh vực giáo dục và đào tạo (chủng loại, số lượng), theo đề nghị của Thủ trưởng cơ quan, đơn vị quản lý, sử dụng máy móc, thiết bị chuyên dùng.</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d) Việc ban hành tiêu chuẩn, định mức sử dụng máy móc, thiết bị chuyên dùng trong các cơ sở đào tạo thuộc cấp tỉnh quản lý (chủng loại, số lượng) thì thực hiện theo khoản 1 và điểm b khoản 2 Điều 3 Quyết định này.</w:t>
            </w:r>
          </w:p>
          <w:p w:rsidR="00C61455" w:rsidRPr="00B665B6" w:rsidRDefault="00C61455" w:rsidP="00B665B6">
            <w:pPr>
              <w:spacing w:after="60"/>
              <w:ind w:left="57" w:right="57"/>
              <w:jc w:val="both"/>
              <w:rPr>
                <w:rFonts w:ascii="Times New Roman" w:hAnsi="Times New Roman" w:cs="Times New Roman"/>
                <w:sz w:val="26"/>
                <w:szCs w:val="26"/>
              </w:rPr>
            </w:pPr>
            <w:bookmarkStart w:id="4" w:name="dieu_6"/>
            <w:r w:rsidRPr="00B665B6">
              <w:rPr>
                <w:rFonts w:ascii="Times New Roman" w:hAnsi="Times New Roman" w:cs="Times New Roman"/>
                <w:b/>
                <w:bCs/>
                <w:sz w:val="26"/>
                <w:szCs w:val="26"/>
              </w:rPr>
              <w:t>Điều 6. Quy định chuyển tiếp</w:t>
            </w:r>
            <w:bookmarkEnd w:id="4"/>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1. Trường hợp các dự án đầu tư, mua sắm thiết bị đã được cơ quan có thẩm quyền phê duyệt kế hoạch lựa chọn nhà thầu trước ngày Quyết định này có hiệu lực thì tiếp tục thực hiện theo quy định của pháp luật về đấu thầu.</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2. Trường hợp không thuộc đối tượng quy định tại khoản 1 Điều này thì thực hiện theo phân cấp thẩm quyền quy định tại Điều 3, Điều 4, Điều 5 Quyết định này.</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 xml:space="preserve">3. Quyết định số 30/2018/QĐ-UBND ngày 10 tháng 10 năm 2018 của Ủy ban nhân dân tỉnh Cao Bằng ban hành quy định tiêu chuẩn, định mức sử dụng máy móc, thiết bị chuyên dùng tại cơ quan, tổ chức, đơn vị trên địa bàn tỉnh Cao Bằng; Quyết định số 43/2018/QĐ-UBND ngày 20 tháng 12 năm 2018 của Ủy ban nhân dân tỉnh Cao Bằng sửa đổi, bổ sung một số điều của quy định tiêu chuẩn, định mức sử dụng máy móc, thiết bị chuyên dùng tại cơ quan, tổ chức, đơn vị trên địa bàn tỉnh Cao Bằng ban hành kèm theo Quyết định số 30/2018/QĐ-UBND ngày 10 tháng 10 năm 2018 của UBND tỉnh Cao Bằng; Quyết định số 51/2019/QĐ-UBND ngày 05 tháng 12 năm 2019 của Ủy ban nhân dân tỉnh Cao Bằng sửa đổi, bổ sung một số điều quy định tiêu chuẩn, định mức sử </w:t>
            </w:r>
            <w:r w:rsidRPr="00B665B6">
              <w:rPr>
                <w:rFonts w:ascii="Times New Roman" w:hAnsi="Times New Roman" w:cs="Times New Roman"/>
                <w:sz w:val="26"/>
                <w:szCs w:val="26"/>
              </w:rPr>
              <w:lastRenderedPageBreak/>
              <w:t>dụng máy móc, thiết bị chuyên dùng tại cơ quan, tổ chức, đơn vị trên địa bàn tỉnh Cao Bằng ban hành kèm theo Quyết định số 30/2018/QĐ-UBND ngày 10/10/2018 của Ủy ban nhân dân tỉnh Cao Bằng và Quyết định số 43/2018/QĐ-UBND ngày 20/12/2018 của UBND tỉnh Cao Bằng hết hiệu lực kể từ ngày Quyết định này có hiệu lực thi hành.</w:t>
            </w:r>
          </w:p>
          <w:p w:rsidR="00BD4F2A" w:rsidRPr="00B665B6" w:rsidRDefault="00BD4F2A" w:rsidP="00B665B6">
            <w:pPr>
              <w:pStyle w:val="NormalWeb"/>
              <w:spacing w:before="0" w:beforeAutospacing="0" w:after="60" w:afterAutospacing="0"/>
              <w:ind w:left="57" w:right="57" w:firstLine="720"/>
              <w:jc w:val="both"/>
              <w:rPr>
                <w:bCs/>
                <w:color w:val="000000" w:themeColor="text1"/>
                <w:sz w:val="26"/>
                <w:szCs w:val="26"/>
              </w:rPr>
            </w:pPr>
          </w:p>
        </w:tc>
        <w:tc>
          <w:tcPr>
            <w:tcW w:w="1795" w:type="pct"/>
            <w:shd w:val="clear" w:color="auto" w:fill="FFFFFF"/>
          </w:tcPr>
          <w:p w:rsidR="00C61455" w:rsidRPr="00B42647" w:rsidRDefault="00C61455" w:rsidP="00B665B6">
            <w:pPr>
              <w:spacing w:after="60"/>
              <w:ind w:left="57" w:right="57"/>
              <w:jc w:val="both"/>
              <w:rPr>
                <w:rFonts w:ascii="Times New Roman" w:hAnsi="Times New Roman" w:cs="Times New Roman"/>
                <w:b/>
                <w:bCs/>
                <w:sz w:val="26"/>
                <w:szCs w:val="26"/>
                <w:shd w:val="clear" w:color="auto" w:fill="FFFFFF"/>
              </w:rPr>
            </w:pPr>
            <w:r w:rsidRPr="00B42647">
              <w:rPr>
                <w:rFonts w:ascii="Times New Roman" w:hAnsi="Times New Roman" w:cs="Times New Roman"/>
                <w:b/>
                <w:sz w:val="26"/>
                <w:szCs w:val="26"/>
              </w:rPr>
              <w:lastRenderedPageBreak/>
              <w:t xml:space="preserve">Điều 3. </w:t>
            </w:r>
            <w:bookmarkStart w:id="5" w:name="dieu_4"/>
            <w:r w:rsidR="00B42647" w:rsidRPr="00B42647">
              <w:rPr>
                <w:rFonts w:ascii="Times New Roman" w:hAnsi="Times New Roman" w:cs="Times New Roman"/>
                <w:b/>
                <w:sz w:val="26"/>
                <w:szCs w:val="26"/>
              </w:rPr>
              <w:t>Phân cấp thẩm quyền quyết định bổ sung số lượng máy móc, thiết bị</w:t>
            </w:r>
          </w:p>
          <w:p w:rsidR="00C61455" w:rsidRPr="00B42647" w:rsidRDefault="00B42647" w:rsidP="00B665B6">
            <w:pPr>
              <w:spacing w:after="60"/>
              <w:ind w:left="57" w:right="57"/>
              <w:jc w:val="both"/>
              <w:rPr>
                <w:rFonts w:ascii="Times New Roman" w:hAnsi="Times New Roman" w:cs="Times New Roman"/>
                <w:color w:val="000000" w:themeColor="text1"/>
                <w:sz w:val="28"/>
                <w:szCs w:val="26"/>
              </w:rPr>
            </w:pPr>
            <w:r w:rsidRPr="00B42647">
              <w:rPr>
                <w:rFonts w:ascii="Times New Roman" w:hAnsi="Times New Roman" w:cs="Times New Roman"/>
                <w:sz w:val="26"/>
              </w:rPr>
              <w:t xml:space="preserve">Các sở, ban, ngành; Ủy ban nhân dân các xã, phường </w:t>
            </w:r>
            <w:r w:rsidRPr="00B42647">
              <w:rPr>
                <w:rFonts w:ascii="Times New Roman" w:hAnsi="Times New Roman" w:cs="Times New Roman"/>
                <w:color w:val="000000" w:themeColor="text1"/>
                <w:sz w:val="26"/>
              </w:rPr>
              <w:t xml:space="preserve">quyết định bổ sung số lượng máy móc, thiết bị đã quy định tại khoản 1 Điều 4 </w:t>
            </w:r>
            <w:r w:rsidRPr="00B42647">
              <w:rPr>
                <w:rFonts w:ascii="Times New Roman" w:hAnsi="Times New Roman" w:cs="Times New Roman"/>
                <w:color w:val="000000" w:themeColor="text1"/>
                <w:spacing w:val="-2"/>
                <w:sz w:val="26"/>
              </w:rPr>
              <w:t>Quyết định số 15/2025/QĐ-TTg</w:t>
            </w:r>
            <w:r w:rsidRPr="00B42647">
              <w:rPr>
                <w:rFonts w:ascii="Times New Roman" w:hAnsi="Times New Roman" w:cs="Times New Roman"/>
                <w:color w:val="000000" w:themeColor="text1"/>
                <w:sz w:val="26"/>
              </w:rPr>
              <w:t xml:space="preserve"> và bổ sung các loại máy móc, thiết bị khác ngoài máy móc, thiết bị đã quy định tại khoản 1 Điều 4 Quyết định số 15/2025/QĐ-TTg </w:t>
            </w:r>
            <w:r w:rsidRPr="00B42647">
              <w:rPr>
                <w:rFonts w:ascii="Times New Roman" w:hAnsi="Times New Roman" w:cs="Times New Roman"/>
                <w:sz w:val="26"/>
              </w:rPr>
              <w:t>để phục vụ Chính phủ điện tử, số hóa, khoa học, công nghệ, đổi mới sáng tạo và nhiệm vụ được giao</w:t>
            </w:r>
            <w:r w:rsidRPr="00B42647">
              <w:rPr>
                <w:rFonts w:ascii="Times New Roman" w:hAnsi="Times New Roman" w:cs="Times New Roman"/>
                <w:b/>
                <w:sz w:val="26"/>
              </w:rPr>
              <w:t xml:space="preserve"> </w:t>
            </w:r>
            <w:r w:rsidRPr="00B42647">
              <w:rPr>
                <w:rFonts w:ascii="Times New Roman" w:hAnsi="Times New Roman" w:cs="Times New Roman"/>
                <w:color w:val="000000" w:themeColor="text1"/>
                <w:sz w:val="26"/>
              </w:rPr>
              <w:t>cho đơn vị mình và các cơ quan, tổ chức, đơn vị thuộc phạm vi quản lý.</w:t>
            </w:r>
          </w:p>
          <w:p w:rsidR="00C61455" w:rsidRPr="00B665B6" w:rsidRDefault="00C61455" w:rsidP="00B665B6">
            <w:pPr>
              <w:spacing w:after="60"/>
              <w:ind w:left="57" w:right="57"/>
              <w:jc w:val="both"/>
              <w:rPr>
                <w:rFonts w:ascii="Times New Roman" w:hAnsi="Times New Roman" w:cs="Times New Roman"/>
                <w:b/>
                <w:bCs/>
                <w:sz w:val="26"/>
                <w:szCs w:val="26"/>
                <w:shd w:val="clear" w:color="auto" w:fill="FFFFFF"/>
              </w:rPr>
            </w:pPr>
            <w:r w:rsidRPr="00B665B6">
              <w:rPr>
                <w:rFonts w:ascii="Times New Roman" w:hAnsi="Times New Roman" w:cs="Times New Roman"/>
                <w:b/>
                <w:color w:val="000000" w:themeColor="text1"/>
                <w:sz w:val="26"/>
                <w:szCs w:val="26"/>
              </w:rPr>
              <w:t xml:space="preserve">Điều 4. </w:t>
            </w:r>
            <w:r w:rsidR="00B42647" w:rsidRPr="00B42647">
              <w:rPr>
                <w:rFonts w:ascii="Times New Roman" w:hAnsi="Times New Roman" w:cs="Times New Roman"/>
                <w:b/>
                <w:color w:val="000000" w:themeColor="text1"/>
                <w:sz w:val="26"/>
              </w:rPr>
              <w:t xml:space="preserve">Phân cấp thẩm quyền quyết định điều chỉnh mức giá máy móc, thiết bị; </w:t>
            </w:r>
            <w:r w:rsidR="00B42647" w:rsidRPr="00B42647">
              <w:rPr>
                <w:rFonts w:ascii="Times New Roman" w:hAnsi="Times New Roman" w:cs="Times New Roman"/>
                <w:b/>
                <w:color w:val="000000" w:themeColor="text1"/>
                <w:spacing w:val="-2"/>
                <w:sz w:val="26"/>
              </w:rPr>
              <w:t>tiêu chuẩn, định mức sử dụng máy móc, thiết bị phục vụ hoạt động chung</w:t>
            </w:r>
          </w:p>
          <w:p w:rsidR="00BD4F2A" w:rsidRPr="00B42647" w:rsidRDefault="00B42647" w:rsidP="00B42647">
            <w:pPr>
              <w:spacing w:after="60"/>
              <w:ind w:left="57" w:right="57"/>
              <w:jc w:val="both"/>
              <w:rPr>
                <w:rFonts w:ascii="Times New Roman" w:hAnsi="Times New Roman" w:cs="Times New Roman"/>
                <w:color w:val="000000" w:themeColor="text1"/>
                <w:sz w:val="26"/>
                <w:szCs w:val="26"/>
                <w:lang w:val="en-US"/>
              </w:rPr>
            </w:pPr>
            <w:r w:rsidRPr="00B42647">
              <w:rPr>
                <w:rFonts w:ascii="Times New Roman" w:hAnsi="Times New Roman" w:cs="Times New Roman"/>
                <w:spacing w:val="-2"/>
                <w:sz w:val="26"/>
                <w:szCs w:val="26"/>
              </w:rPr>
              <w:t xml:space="preserve">Các sở, ban, ngành; Ủy ban nhân dân các xã, phường </w:t>
            </w:r>
            <w:r w:rsidRPr="00B42647">
              <w:rPr>
                <w:rFonts w:ascii="Times New Roman" w:hAnsi="Times New Roman" w:cs="Times New Roman"/>
                <w:color w:val="000000" w:themeColor="text1"/>
                <w:spacing w:val="-2"/>
                <w:sz w:val="26"/>
                <w:szCs w:val="26"/>
              </w:rPr>
              <w:t>quyết định điều chỉnh mức giá máy móc, thiết bị từ trên 15% đến không quá 30% so với mức giá quy định tại khoản 1 Điều 4 Quyết định số 15/2025/QĐ-TTg và quyết định tiêu chuẩn, định mức sử dụng máy móc, thiết bị phục vụ hoạt động chung quy định tại điểm b khoản 1 Điều 5 Quyết định số 15/2025/QĐ-TTg cho đơn vị mình và các cơ quan, tổ chức, đơn vị thuộc phạm vi quản lý</w:t>
            </w:r>
            <w:r w:rsidR="00C61455" w:rsidRPr="00B42647">
              <w:rPr>
                <w:rFonts w:ascii="Times New Roman" w:hAnsi="Times New Roman" w:cs="Times New Roman"/>
                <w:color w:val="000000" w:themeColor="text1"/>
                <w:sz w:val="26"/>
                <w:szCs w:val="26"/>
              </w:rPr>
              <w:t>.</w:t>
            </w:r>
            <w:bookmarkEnd w:id="5"/>
          </w:p>
        </w:tc>
        <w:tc>
          <w:tcPr>
            <w:tcW w:w="817" w:type="pct"/>
            <w:shd w:val="clear" w:color="auto" w:fill="FFFFFF"/>
          </w:tcPr>
          <w:p w:rsidR="00BD4F2A" w:rsidRPr="00132362" w:rsidRDefault="00C61455" w:rsidP="00132362">
            <w:pPr>
              <w:ind w:left="130" w:right="113"/>
              <w:jc w:val="both"/>
              <w:rPr>
                <w:rFonts w:ascii="Times New Roman" w:hAnsi="Times New Roman" w:cs="Times New Roman"/>
              </w:rPr>
            </w:pPr>
            <w:r>
              <w:rPr>
                <w:rFonts w:ascii="Times New Roman" w:hAnsi="Times New Roman" w:cs="Times New Roman"/>
                <w:bCs/>
                <w:lang w:val="nl-NL" w:bidi="vi-VN"/>
              </w:rPr>
              <w:t>Điều chỉnh theo quy định Quyết định 15/2025/QĐ-TTg</w:t>
            </w:r>
          </w:p>
        </w:tc>
      </w:tr>
      <w:tr w:rsidR="00DF63F2" w:rsidRPr="00132362" w:rsidTr="00132362">
        <w:trPr>
          <w:trHeight w:val="20"/>
          <w:jc w:val="center"/>
        </w:trPr>
        <w:tc>
          <w:tcPr>
            <w:tcW w:w="2388" w:type="pct"/>
            <w:shd w:val="clear" w:color="auto" w:fill="FFFFFF"/>
          </w:tcPr>
          <w:p w:rsidR="00C61455" w:rsidRPr="00B665B6" w:rsidRDefault="00C61455" w:rsidP="00B665B6">
            <w:pPr>
              <w:spacing w:after="60"/>
              <w:ind w:left="57" w:right="57"/>
              <w:jc w:val="both"/>
              <w:rPr>
                <w:rFonts w:ascii="Times New Roman" w:hAnsi="Times New Roman" w:cs="Times New Roman"/>
                <w:sz w:val="26"/>
                <w:szCs w:val="26"/>
              </w:rPr>
            </w:pPr>
            <w:bookmarkStart w:id="6" w:name="dieu_7"/>
            <w:r w:rsidRPr="00B665B6">
              <w:rPr>
                <w:rFonts w:ascii="Times New Roman" w:hAnsi="Times New Roman" w:cs="Times New Roman"/>
                <w:b/>
                <w:bCs/>
                <w:sz w:val="26"/>
                <w:szCs w:val="26"/>
              </w:rPr>
              <w:lastRenderedPageBreak/>
              <w:t>Điều 7. Hiệu lực thi hành</w:t>
            </w:r>
            <w:bookmarkEnd w:id="6"/>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1. Quyết định này có hiệu lực kể từ ngày 10 tháng 9 năm 2020.</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2. Những nội dung liên quan đến tiêu chuẩn, định mức sử dụng máy móc, thiết bị chuyên dùng không quy định tại Quyết định này được thực hiện theo quy định tại Quyết định số 50/2017/QĐ-TTg ngày 31/12/2017 của Thủ tướng Chính phủ quy định tiêu chuẩn, định mức sử dụng máy móc, thiết bị; Thông tư số 08/2019/TT-BYT ngày 31/05/2019 của Bộ trưởng Bộ Y tế hướng dẫn tiêu chuẩn, định mức sử dụng máy móc, thiết bị chuyên dùng thuộc lĩnh vực y tế; Thông tư số 16/2019/TT-BGDĐT ngày 04/10/2019 của Bộ trưởng Bộ Giáo dục và Đào tạo hướng dẫn tiêu chuẩn, định mức sử dụng máy móc, thiết bị chuyên dùng thuộc lĩnh vực giáo dục và đào tạo.</w:t>
            </w:r>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3. Trong quá trình thực hiện nếu phát sinh vướng mắc, các cơ quan, tổ chức, đơn vị kịp thời phản ánh về Ủy ban nhân dân tỉnh (qua Sở Tài chính) để xem xét, quyết định.</w:t>
            </w:r>
          </w:p>
          <w:p w:rsidR="00C61455" w:rsidRPr="00B665B6" w:rsidRDefault="00C61455" w:rsidP="00B665B6">
            <w:pPr>
              <w:spacing w:after="60"/>
              <w:ind w:left="57" w:right="57"/>
              <w:jc w:val="both"/>
              <w:rPr>
                <w:rFonts w:ascii="Times New Roman" w:hAnsi="Times New Roman" w:cs="Times New Roman"/>
                <w:sz w:val="26"/>
                <w:szCs w:val="26"/>
              </w:rPr>
            </w:pPr>
            <w:bookmarkStart w:id="7" w:name="dieu_8"/>
            <w:r w:rsidRPr="00B665B6">
              <w:rPr>
                <w:rFonts w:ascii="Times New Roman" w:hAnsi="Times New Roman" w:cs="Times New Roman"/>
                <w:b/>
                <w:bCs/>
                <w:sz w:val="26"/>
                <w:szCs w:val="26"/>
              </w:rPr>
              <w:t>Điều 8. Tổ chức thực hiện</w:t>
            </w:r>
            <w:bookmarkEnd w:id="7"/>
          </w:p>
          <w:p w:rsidR="00C61455" w:rsidRPr="00B665B6" w:rsidRDefault="00C61455" w:rsidP="00B665B6">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rPr>
              <w:t xml:space="preserve">Chánh Văn phòng Ủy ban nhân dân tỉnh; Giám đốc các Sở: Tài chính, Kế hoạch và Đầu tư, Y tế, Giáo dục và Đào tạo, Lao động - Thương binh và Xã hội; Giám đốc Kho bạc Nhà nước tỉnh; Thủ trưởng các sở, ban, ngành, đoàn thể, hoặc </w:t>
            </w:r>
            <w:r w:rsidRPr="00B665B6">
              <w:rPr>
                <w:rFonts w:ascii="Times New Roman" w:hAnsi="Times New Roman" w:cs="Times New Roman"/>
                <w:sz w:val="26"/>
                <w:szCs w:val="26"/>
              </w:rPr>
              <w:lastRenderedPageBreak/>
              <w:t>tương đương; Chủ tịch Ủy ban nhân dân cấp huyện và các tổ chức, cá nhân liên quan chịu trách nhiệm thi hành quyết định này./.</w:t>
            </w:r>
          </w:p>
          <w:p w:rsidR="00A45885" w:rsidRPr="00B665B6" w:rsidRDefault="00A45885" w:rsidP="00B665B6">
            <w:pPr>
              <w:spacing w:after="60"/>
              <w:ind w:left="57" w:right="57"/>
              <w:jc w:val="both"/>
              <w:rPr>
                <w:rFonts w:ascii="Times New Roman" w:eastAsiaTheme="minorHAnsi" w:hAnsi="Times New Roman" w:cs="Times New Roman"/>
                <w:color w:val="auto"/>
                <w:spacing w:val="-2"/>
                <w:sz w:val="26"/>
                <w:szCs w:val="26"/>
                <w:lang w:val="en-US" w:bidi="vi-VN"/>
              </w:rPr>
            </w:pPr>
          </w:p>
        </w:tc>
        <w:tc>
          <w:tcPr>
            <w:tcW w:w="1795" w:type="pct"/>
            <w:shd w:val="clear" w:color="auto" w:fill="FFFFFF"/>
          </w:tcPr>
          <w:p w:rsidR="00132362" w:rsidRPr="00B665B6" w:rsidRDefault="00B42647" w:rsidP="00B665B6">
            <w:pPr>
              <w:pStyle w:val="NormalWeb"/>
              <w:spacing w:before="0" w:beforeAutospacing="0" w:after="60" w:afterAutospacing="0"/>
              <w:ind w:right="57"/>
              <w:jc w:val="both"/>
              <w:rPr>
                <w:b/>
                <w:bCs/>
                <w:color w:val="000000" w:themeColor="text1"/>
                <w:sz w:val="26"/>
                <w:szCs w:val="26"/>
              </w:rPr>
            </w:pPr>
            <w:r>
              <w:rPr>
                <w:b/>
                <w:bCs/>
                <w:color w:val="000000" w:themeColor="text1"/>
                <w:sz w:val="26"/>
                <w:szCs w:val="26"/>
              </w:rPr>
              <w:lastRenderedPageBreak/>
              <w:t>Điều 5</w:t>
            </w:r>
            <w:r w:rsidR="00132362" w:rsidRPr="00B665B6">
              <w:rPr>
                <w:b/>
                <w:bCs/>
                <w:color w:val="000000" w:themeColor="text1"/>
                <w:sz w:val="26"/>
                <w:szCs w:val="26"/>
              </w:rPr>
              <w:t>. Hiệu lực thi hành</w:t>
            </w:r>
          </w:p>
          <w:p w:rsidR="00C61455" w:rsidRPr="00B665B6" w:rsidRDefault="00C61455" w:rsidP="00B665B6">
            <w:pPr>
              <w:pStyle w:val="NormalWeb"/>
              <w:spacing w:before="0" w:beforeAutospacing="0" w:after="60" w:afterAutospacing="0"/>
              <w:ind w:left="57" w:right="57"/>
              <w:jc w:val="both"/>
              <w:rPr>
                <w:bCs/>
                <w:color w:val="000000" w:themeColor="text1"/>
                <w:sz w:val="26"/>
                <w:szCs w:val="26"/>
              </w:rPr>
            </w:pPr>
            <w:r w:rsidRPr="00B665B6">
              <w:rPr>
                <w:bCs/>
                <w:color w:val="000000" w:themeColor="text1"/>
                <w:sz w:val="26"/>
                <w:szCs w:val="26"/>
              </w:rPr>
              <w:t>1. Quyết định này có hiệu lực thi hành kể từ ngày    tháng    năm 2025.</w:t>
            </w:r>
          </w:p>
          <w:p w:rsidR="00C61455" w:rsidRPr="00B665B6" w:rsidRDefault="00C61455" w:rsidP="00B665B6">
            <w:pPr>
              <w:pStyle w:val="NormalWeb"/>
              <w:spacing w:before="0" w:beforeAutospacing="0" w:after="60" w:afterAutospacing="0"/>
              <w:ind w:left="57" w:right="57"/>
              <w:jc w:val="both"/>
              <w:rPr>
                <w:bCs/>
                <w:color w:val="000000" w:themeColor="text1"/>
                <w:sz w:val="26"/>
                <w:szCs w:val="26"/>
              </w:rPr>
            </w:pPr>
            <w:r w:rsidRPr="00B665B6">
              <w:rPr>
                <w:bCs/>
                <w:color w:val="000000" w:themeColor="text1"/>
                <w:sz w:val="26"/>
                <w:szCs w:val="26"/>
              </w:rPr>
              <w:t>2.Quyết định số 22/2020/QĐ-UBND ngày 25</w:t>
            </w:r>
            <w:r w:rsidR="00B42647">
              <w:rPr>
                <w:bCs/>
                <w:color w:val="000000" w:themeColor="text1"/>
                <w:sz w:val="26"/>
                <w:szCs w:val="26"/>
              </w:rPr>
              <w:t xml:space="preserve"> tháng </w:t>
            </w:r>
            <w:r w:rsidRPr="00B665B6">
              <w:rPr>
                <w:bCs/>
                <w:color w:val="000000" w:themeColor="text1"/>
                <w:sz w:val="26"/>
                <w:szCs w:val="26"/>
              </w:rPr>
              <w:t>8</w:t>
            </w:r>
            <w:r w:rsidR="00B42647">
              <w:rPr>
                <w:bCs/>
                <w:color w:val="000000" w:themeColor="text1"/>
                <w:sz w:val="26"/>
                <w:szCs w:val="26"/>
              </w:rPr>
              <w:t xml:space="preserve"> năm 2020 của Ủy ban nhân dân</w:t>
            </w:r>
            <w:r w:rsidRPr="00B665B6">
              <w:rPr>
                <w:bCs/>
                <w:color w:val="000000" w:themeColor="text1"/>
                <w:sz w:val="26"/>
                <w:szCs w:val="26"/>
              </w:rPr>
              <w:t xml:space="preserve"> tỉnh Cao Bằng quy định về phân cấp thẩm quyền ban hành tiêu chuẩn, định mức sử dụng máy móc, thiết bị chuyên dùng tại các cơ quan, tổ chức, đơn vị, doanh nghiệp nhà nước thuộc phạm vị quản lý của tỉnh Cao Bằng hết hiệu lực kể từ ngày Quyết định này có hiệu lực thi hành.</w:t>
            </w:r>
          </w:p>
          <w:p w:rsidR="00C61455" w:rsidRPr="00B665B6" w:rsidRDefault="00C61455" w:rsidP="00B42647">
            <w:pPr>
              <w:spacing w:after="60"/>
              <w:ind w:left="57" w:right="57"/>
              <w:jc w:val="both"/>
              <w:rPr>
                <w:rFonts w:ascii="Times New Roman" w:hAnsi="Times New Roman" w:cs="Times New Roman"/>
                <w:sz w:val="26"/>
                <w:szCs w:val="26"/>
              </w:rPr>
            </w:pPr>
            <w:r w:rsidRPr="00B665B6">
              <w:rPr>
                <w:rFonts w:ascii="Times New Roman" w:hAnsi="Times New Roman" w:cs="Times New Roman"/>
                <w:sz w:val="26"/>
                <w:szCs w:val="26"/>
                <w:shd w:val="clear" w:color="auto" w:fill="FFFFFF"/>
                <w:lang w:val="en-AU"/>
              </w:rPr>
              <w:t xml:space="preserve"> 3. </w:t>
            </w:r>
            <w:r w:rsidRPr="00B665B6">
              <w:rPr>
                <w:rFonts w:ascii="Times New Roman" w:hAnsi="Times New Roman" w:cs="Times New Roman"/>
                <w:sz w:val="26"/>
                <w:szCs w:val="26"/>
                <w:lang w:val="pt-BR"/>
              </w:rPr>
              <w:t>Chánh Văn phòng Ủy ban nhân dân tỉnh;</w:t>
            </w:r>
            <w:r w:rsidR="00B42647">
              <w:rPr>
                <w:rFonts w:ascii="Times New Roman" w:hAnsi="Times New Roman" w:cs="Times New Roman"/>
                <w:sz w:val="26"/>
                <w:szCs w:val="26"/>
                <w:lang w:val="pt-BR"/>
              </w:rPr>
              <w:t xml:space="preserve"> Giám đốc Sở Tài chính;</w:t>
            </w:r>
            <w:r w:rsidRPr="00B665B6">
              <w:rPr>
                <w:rFonts w:ascii="Times New Roman" w:hAnsi="Times New Roman" w:cs="Times New Roman"/>
                <w:sz w:val="26"/>
                <w:szCs w:val="26"/>
                <w:lang w:val="pt-BR"/>
              </w:rPr>
              <w:t xml:space="preserve"> Thủ trưởng các sở, ban, ngành; Chủ tịch Ủy ban nhân dân các xã, phường và Thủ trưởng các cơ quan, đơn vị có liên quan chịu trách nhiệm thi hành Quyết định này</w:t>
            </w:r>
            <w:r w:rsidRPr="00B665B6">
              <w:rPr>
                <w:rFonts w:ascii="Times New Roman" w:hAnsi="Times New Roman" w:cs="Times New Roman"/>
                <w:sz w:val="26"/>
                <w:szCs w:val="26"/>
                <w:shd w:val="clear" w:color="auto" w:fill="FFFFFF"/>
                <w:lang w:val="en-AU"/>
              </w:rPr>
              <w:t>./.</w:t>
            </w:r>
          </w:p>
          <w:p w:rsidR="002F26EE" w:rsidRPr="00B665B6" w:rsidRDefault="002F26EE" w:rsidP="00B665B6">
            <w:pPr>
              <w:tabs>
                <w:tab w:val="left" w:pos="5369"/>
              </w:tabs>
              <w:spacing w:after="60"/>
              <w:ind w:left="57" w:right="57"/>
              <w:jc w:val="both"/>
              <w:rPr>
                <w:rFonts w:ascii="Times New Roman" w:eastAsiaTheme="minorHAnsi" w:hAnsi="Times New Roman" w:cs="Times New Roman"/>
                <w:color w:val="auto"/>
                <w:sz w:val="26"/>
                <w:szCs w:val="26"/>
                <w:lang w:val="en-US" w:bidi="vi-VN"/>
              </w:rPr>
            </w:pPr>
          </w:p>
        </w:tc>
        <w:tc>
          <w:tcPr>
            <w:tcW w:w="817" w:type="pct"/>
            <w:shd w:val="clear" w:color="auto" w:fill="FFFFFF"/>
          </w:tcPr>
          <w:p w:rsidR="00A45885" w:rsidRPr="00132362" w:rsidRDefault="00A45885" w:rsidP="00132362">
            <w:pPr>
              <w:pStyle w:val="NormalWeb"/>
              <w:shd w:val="clear" w:color="auto" w:fill="FFFFFF"/>
              <w:spacing w:before="0" w:beforeAutospacing="0" w:after="0" w:afterAutospacing="0"/>
              <w:ind w:left="131" w:right="113"/>
              <w:jc w:val="both"/>
            </w:pPr>
          </w:p>
        </w:tc>
      </w:tr>
    </w:tbl>
    <w:p w:rsidR="004D491E" w:rsidRPr="0079182C" w:rsidRDefault="004D491E">
      <w:pPr>
        <w:rPr>
          <w:rFonts w:ascii="Times New Roman" w:hAnsi="Times New Roman" w:cs="Times New Roman"/>
          <w:vanish/>
        </w:rPr>
      </w:pPr>
    </w:p>
    <w:sectPr w:rsidR="004D491E" w:rsidRPr="0079182C" w:rsidSect="0057773E">
      <w:headerReference w:type="even" r:id="rId8"/>
      <w:headerReference w:type="default" r:id="rId9"/>
      <w:pgSz w:w="16840" w:h="11907" w:orient="landscape" w:code="9"/>
      <w:pgMar w:top="1134" w:right="1134" w:bottom="1134" w:left="1134" w:header="680" w:footer="68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D6" w:rsidRDefault="00312DD6" w:rsidP="00807F59">
      <w:r>
        <w:separator/>
      </w:r>
    </w:p>
  </w:endnote>
  <w:endnote w:type="continuationSeparator" w:id="0">
    <w:p w:rsidR="00312DD6" w:rsidRDefault="00312DD6" w:rsidP="0080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D6" w:rsidRDefault="00312DD6" w:rsidP="00807F59">
      <w:r>
        <w:separator/>
      </w:r>
    </w:p>
  </w:footnote>
  <w:footnote w:type="continuationSeparator" w:id="0">
    <w:p w:rsidR="00312DD6" w:rsidRDefault="00312DD6" w:rsidP="00807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1C" w:rsidRDefault="006A481C">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95295282"/>
      <w:docPartObj>
        <w:docPartGallery w:val="Page Numbers (Top of Page)"/>
        <w:docPartUnique/>
      </w:docPartObj>
    </w:sdtPr>
    <w:sdtEndPr/>
    <w:sdtContent>
      <w:p w:rsidR="006A481C" w:rsidRDefault="006A481C">
        <w:pPr>
          <w:pStyle w:val="Header"/>
          <w:jc w:val="center"/>
        </w:pPr>
        <w:r w:rsidRPr="008F2F98">
          <w:rPr>
            <w:rFonts w:ascii="Times New Roman" w:hAnsi="Times New Roman" w:cs="Times New Roman"/>
          </w:rPr>
          <w:fldChar w:fldCharType="begin"/>
        </w:r>
        <w:r w:rsidRPr="008F2F98">
          <w:rPr>
            <w:rFonts w:ascii="Times New Roman" w:hAnsi="Times New Roman" w:cs="Times New Roman"/>
          </w:rPr>
          <w:instrText xml:space="preserve"> PAGE   \* MERGEFORMAT </w:instrText>
        </w:r>
        <w:r w:rsidRPr="008F2F98">
          <w:rPr>
            <w:rFonts w:ascii="Times New Roman" w:hAnsi="Times New Roman" w:cs="Times New Roman"/>
          </w:rPr>
          <w:fldChar w:fldCharType="separate"/>
        </w:r>
        <w:r w:rsidR="009C7020">
          <w:rPr>
            <w:rFonts w:ascii="Times New Roman" w:hAnsi="Times New Roman" w:cs="Times New Roman"/>
            <w:noProof/>
          </w:rPr>
          <w:t>2</w:t>
        </w:r>
        <w:r w:rsidRPr="008F2F98">
          <w:rPr>
            <w:rFonts w:ascii="Times New Roman" w:hAnsi="Times New Roman" w:cs="Times New Roman"/>
          </w:rPr>
          <w:fldChar w:fldCharType="end"/>
        </w:r>
      </w:p>
    </w:sdtContent>
  </w:sdt>
  <w:p w:rsidR="006A481C" w:rsidRDefault="006A4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031"/>
    <w:multiLevelType w:val="multilevel"/>
    <w:tmpl w:val="802EE9EA"/>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0AE4B0D"/>
    <w:multiLevelType w:val="multilevel"/>
    <w:tmpl w:val="11006AE6"/>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3946A9E"/>
    <w:multiLevelType w:val="hybridMultilevel"/>
    <w:tmpl w:val="689EE3E8"/>
    <w:lvl w:ilvl="0" w:tplc="F5DC7D90">
      <w:start w:val="6"/>
      <w:numFmt w:val="decimal"/>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A0F034F"/>
    <w:multiLevelType w:val="multilevel"/>
    <w:tmpl w:val="E90CEEC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0B296718"/>
    <w:multiLevelType w:val="hybridMultilevel"/>
    <w:tmpl w:val="08F035A4"/>
    <w:lvl w:ilvl="0" w:tplc="8ADC9448">
      <w:start w:val="1"/>
      <w:numFmt w:val="bullet"/>
      <w:suff w:val="space"/>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1172750D"/>
    <w:multiLevelType w:val="multilevel"/>
    <w:tmpl w:val="CA78E00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11DC4AD6"/>
    <w:multiLevelType w:val="hybridMultilevel"/>
    <w:tmpl w:val="BAFE277E"/>
    <w:lvl w:ilvl="0" w:tplc="02E0C3BC">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7">
    <w:nsid w:val="15EB1194"/>
    <w:multiLevelType w:val="multilevel"/>
    <w:tmpl w:val="DFAC87C2"/>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21586579"/>
    <w:multiLevelType w:val="multilevel"/>
    <w:tmpl w:val="FF3EB26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547434D"/>
    <w:multiLevelType w:val="multilevel"/>
    <w:tmpl w:val="FF12214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25F3075D"/>
    <w:multiLevelType w:val="hybridMultilevel"/>
    <w:tmpl w:val="20F22B54"/>
    <w:lvl w:ilvl="0" w:tplc="46CC648E">
      <w:start w:val="1"/>
      <w:numFmt w:val="decimal"/>
      <w:suff w:val="space"/>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nsid w:val="26CE77E6"/>
    <w:multiLevelType w:val="hybridMultilevel"/>
    <w:tmpl w:val="FA9CE19A"/>
    <w:lvl w:ilvl="0" w:tplc="16C262E2">
      <w:start w:val="1"/>
      <w:numFmt w:val="decimal"/>
      <w:suff w:val="space"/>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nsid w:val="28AF0CF1"/>
    <w:multiLevelType w:val="multilevel"/>
    <w:tmpl w:val="367EF186"/>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318C78FD"/>
    <w:multiLevelType w:val="hybridMultilevel"/>
    <w:tmpl w:val="C6CE4436"/>
    <w:lvl w:ilvl="0" w:tplc="A14A30A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nsid w:val="31D279F3"/>
    <w:multiLevelType w:val="hybridMultilevel"/>
    <w:tmpl w:val="D5E2FFA6"/>
    <w:lvl w:ilvl="0" w:tplc="54BABA3A">
      <w:start w:val="5"/>
      <w:numFmt w:val="bullet"/>
      <w:lvlText w:val="-"/>
      <w:lvlJc w:val="left"/>
      <w:pPr>
        <w:ind w:left="459" w:hanging="360"/>
      </w:pPr>
      <w:rPr>
        <w:rFonts w:ascii="Times New Roman" w:eastAsia="Times New Roman" w:hAnsi="Times New Roman" w:cs="Times New Roman" w:hint="default"/>
      </w:rPr>
    </w:lvl>
    <w:lvl w:ilvl="1" w:tplc="042A0003" w:tentative="1">
      <w:start w:val="1"/>
      <w:numFmt w:val="bullet"/>
      <w:lvlText w:val="o"/>
      <w:lvlJc w:val="left"/>
      <w:pPr>
        <w:ind w:left="1179" w:hanging="360"/>
      </w:pPr>
      <w:rPr>
        <w:rFonts w:ascii="Courier New" w:hAnsi="Courier New" w:cs="Courier New" w:hint="default"/>
      </w:rPr>
    </w:lvl>
    <w:lvl w:ilvl="2" w:tplc="042A0005" w:tentative="1">
      <w:start w:val="1"/>
      <w:numFmt w:val="bullet"/>
      <w:lvlText w:val=""/>
      <w:lvlJc w:val="left"/>
      <w:pPr>
        <w:ind w:left="1899" w:hanging="360"/>
      </w:pPr>
      <w:rPr>
        <w:rFonts w:ascii="Wingdings" w:hAnsi="Wingdings" w:hint="default"/>
      </w:rPr>
    </w:lvl>
    <w:lvl w:ilvl="3" w:tplc="042A0001" w:tentative="1">
      <w:start w:val="1"/>
      <w:numFmt w:val="bullet"/>
      <w:lvlText w:val=""/>
      <w:lvlJc w:val="left"/>
      <w:pPr>
        <w:ind w:left="2619" w:hanging="360"/>
      </w:pPr>
      <w:rPr>
        <w:rFonts w:ascii="Symbol" w:hAnsi="Symbol" w:hint="default"/>
      </w:rPr>
    </w:lvl>
    <w:lvl w:ilvl="4" w:tplc="042A0003" w:tentative="1">
      <w:start w:val="1"/>
      <w:numFmt w:val="bullet"/>
      <w:lvlText w:val="o"/>
      <w:lvlJc w:val="left"/>
      <w:pPr>
        <w:ind w:left="3339" w:hanging="360"/>
      </w:pPr>
      <w:rPr>
        <w:rFonts w:ascii="Courier New" w:hAnsi="Courier New" w:cs="Courier New" w:hint="default"/>
      </w:rPr>
    </w:lvl>
    <w:lvl w:ilvl="5" w:tplc="042A0005" w:tentative="1">
      <w:start w:val="1"/>
      <w:numFmt w:val="bullet"/>
      <w:lvlText w:val=""/>
      <w:lvlJc w:val="left"/>
      <w:pPr>
        <w:ind w:left="4059" w:hanging="360"/>
      </w:pPr>
      <w:rPr>
        <w:rFonts w:ascii="Wingdings" w:hAnsi="Wingdings" w:hint="default"/>
      </w:rPr>
    </w:lvl>
    <w:lvl w:ilvl="6" w:tplc="042A0001" w:tentative="1">
      <w:start w:val="1"/>
      <w:numFmt w:val="bullet"/>
      <w:lvlText w:val=""/>
      <w:lvlJc w:val="left"/>
      <w:pPr>
        <w:ind w:left="4779" w:hanging="360"/>
      </w:pPr>
      <w:rPr>
        <w:rFonts w:ascii="Symbol" w:hAnsi="Symbol" w:hint="default"/>
      </w:rPr>
    </w:lvl>
    <w:lvl w:ilvl="7" w:tplc="042A0003" w:tentative="1">
      <w:start w:val="1"/>
      <w:numFmt w:val="bullet"/>
      <w:lvlText w:val="o"/>
      <w:lvlJc w:val="left"/>
      <w:pPr>
        <w:ind w:left="5499" w:hanging="360"/>
      </w:pPr>
      <w:rPr>
        <w:rFonts w:ascii="Courier New" w:hAnsi="Courier New" w:cs="Courier New" w:hint="default"/>
      </w:rPr>
    </w:lvl>
    <w:lvl w:ilvl="8" w:tplc="042A0005" w:tentative="1">
      <w:start w:val="1"/>
      <w:numFmt w:val="bullet"/>
      <w:lvlText w:val=""/>
      <w:lvlJc w:val="left"/>
      <w:pPr>
        <w:ind w:left="6219" w:hanging="360"/>
      </w:pPr>
      <w:rPr>
        <w:rFonts w:ascii="Wingdings" w:hAnsi="Wingdings" w:hint="default"/>
      </w:rPr>
    </w:lvl>
  </w:abstractNum>
  <w:abstractNum w:abstractNumId="15">
    <w:nsid w:val="32E37EAC"/>
    <w:multiLevelType w:val="hybridMultilevel"/>
    <w:tmpl w:val="1EA02082"/>
    <w:lvl w:ilvl="0" w:tplc="B1D49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5C75FC"/>
    <w:multiLevelType w:val="multilevel"/>
    <w:tmpl w:val="15ACED64"/>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9C9113F"/>
    <w:multiLevelType w:val="hybridMultilevel"/>
    <w:tmpl w:val="71FEAC5C"/>
    <w:lvl w:ilvl="0" w:tplc="BBBEEEE6">
      <w:start w:val="1"/>
      <w:numFmt w:val="lowerLetter"/>
      <w:suff w:val="space"/>
      <w:lvlText w:val="%1)"/>
      <w:lvlJc w:val="left"/>
      <w:pPr>
        <w:ind w:left="492" w:hanging="360"/>
      </w:pPr>
      <w:rPr>
        <w:rFonts w:hint="default"/>
      </w:rPr>
    </w:lvl>
    <w:lvl w:ilvl="1" w:tplc="042A0019" w:tentative="1">
      <w:start w:val="1"/>
      <w:numFmt w:val="lowerLetter"/>
      <w:lvlText w:val="%2."/>
      <w:lvlJc w:val="left"/>
      <w:pPr>
        <w:ind w:left="1212" w:hanging="360"/>
      </w:pPr>
    </w:lvl>
    <w:lvl w:ilvl="2" w:tplc="042A001B" w:tentative="1">
      <w:start w:val="1"/>
      <w:numFmt w:val="lowerRoman"/>
      <w:lvlText w:val="%3."/>
      <w:lvlJc w:val="right"/>
      <w:pPr>
        <w:ind w:left="1932" w:hanging="180"/>
      </w:pPr>
    </w:lvl>
    <w:lvl w:ilvl="3" w:tplc="042A000F" w:tentative="1">
      <w:start w:val="1"/>
      <w:numFmt w:val="decimal"/>
      <w:lvlText w:val="%4."/>
      <w:lvlJc w:val="left"/>
      <w:pPr>
        <w:ind w:left="2652" w:hanging="360"/>
      </w:pPr>
    </w:lvl>
    <w:lvl w:ilvl="4" w:tplc="042A0019" w:tentative="1">
      <w:start w:val="1"/>
      <w:numFmt w:val="lowerLetter"/>
      <w:lvlText w:val="%5."/>
      <w:lvlJc w:val="left"/>
      <w:pPr>
        <w:ind w:left="3372" w:hanging="360"/>
      </w:pPr>
    </w:lvl>
    <w:lvl w:ilvl="5" w:tplc="042A001B" w:tentative="1">
      <w:start w:val="1"/>
      <w:numFmt w:val="lowerRoman"/>
      <w:lvlText w:val="%6."/>
      <w:lvlJc w:val="right"/>
      <w:pPr>
        <w:ind w:left="4092" w:hanging="180"/>
      </w:pPr>
    </w:lvl>
    <w:lvl w:ilvl="6" w:tplc="042A000F" w:tentative="1">
      <w:start w:val="1"/>
      <w:numFmt w:val="decimal"/>
      <w:lvlText w:val="%7."/>
      <w:lvlJc w:val="left"/>
      <w:pPr>
        <w:ind w:left="4812" w:hanging="360"/>
      </w:pPr>
    </w:lvl>
    <w:lvl w:ilvl="7" w:tplc="042A0019" w:tentative="1">
      <w:start w:val="1"/>
      <w:numFmt w:val="lowerLetter"/>
      <w:lvlText w:val="%8."/>
      <w:lvlJc w:val="left"/>
      <w:pPr>
        <w:ind w:left="5532" w:hanging="360"/>
      </w:pPr>
    </w:lvl>
    <w:lvl w:ilvl="8" w:tplc="042A001B" w:tentative="1">
      <w:start w:val="1"/>
      <w:numFmt w:val="lowerRoman"/>
      <w:lvlText w:val="%9."/>
      <w:lvlJc w:val="right"/>
      <w:pPr>
        <w:ind w:left="6252" w:hanging="180"/>
      </w:pPr>
    </w:lvl>
  </w:abstractNum>
  <w:abstractNum w:abstractNumId="18">
    <w:nsid w:val="3A477FDE"/>
    <w:multiLevelType w:val="multilevel"/>
    <w:tmpl w:val="2BAEF802"/>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41EC2F4A"/>
    <w:multiLevelType w:val="hybridMultilevel"/>
    <w:tmpl w:val="31B8A62E"/>
    <w:lvl w:ilvl="0" w:tplc="24A64602">
      <w:start w:val="1"/>
      <w:numFmt w:val="decimal"/>
      <w:suff w:val="space"/>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nsid w:val="435D04D7"/>
    <w:multiLevelType w:val="multilevel"/>
    <w:tmpl w:val="BF3CE0B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4D502F9A"/>
    <w:multiLevelType w:val="multilevel"/>
    <w:tmpl w:val="2BD6227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4D7D6D16"/>
    <w:multiLevelType w:val="hybridMultilevel"/>
    <w:tmpl w:val="22906F0A"/>
    <w:lvl w:ilvl="0" w:tplc="D430EE3C">
      <w:start w:val="1"/>
      <w:numFmt w:val="decimal"/>
      <w:lvlText w:val="%1."/>
      <w:lvlJc w:val="left"/>
      <w:pPr>
        <w:ind w:left="492" w:hanging="360"/>
      </w:pPr>
      <w:rPr>
        <w:rFonts w:hint="default"/>
      </w:rPr>
    </w:lvl>
    <w:lvl w:ilvl="1" w:tplc="042A0019" w:tentative="1">
      <w:start w:val="1"/>
      <w:numFmt w:val="lowerLetter"/>
      <w:lvlText w:val="%2."/>
      <w:lvlJc w:val="left"/>
      <w:pPr>
        <w:ind w:left="1212" w:hanging="360"/>
      </w:pPr>
    </w:lvl>
    <w:lvl w:ilvl="2" w:tplc="042A001B" w:tentative="1">
      <w:start w:val="1"/>
      <w:numFmt w:val="lowerRoman"/>
      <w:lvlText w:val="%3."/>
      <w:lvlJc w:val="right"/>
      <w:pPr>
        <w:ind w:left="1932" w:hanging="180"/>
      </w:pPr>
    </w:lvl>
    <w:lvl w:ilvl="3" w:tplc="042A000F" w:tentative="1">
      <w:start w:val="1"/>
      <w:numFmt w:val="decimal"/>
      <w:lvlText w:val="%4."/>
      <w:lvlJc w:val="left"/>
      <w:pPr>
        <w:ind w:left="2652" w:hanging="360"/>
      </w:pPr>
    </w:lvl>
    <w:lvl w:ilvl="4" w:tplc="042A0019" w:tentative="1">
      <w:start w:val="1"/>
      <w:numFmt w:val="lowerLetter"/>
      <w:lvlText w:val="%5."/>
      <w:lvlJc w:val="left"/>
      <w:pPr>
        <w:ind w:left="3372" w:hanging="360"/>
      </w:pPr>
    </w:lvl>
    <w:lvl w:ilvl="5" w:tplc="042A001B" w:tentative="1">
      <w:start w:val="1"/>
      <w:numFmt w:val="lowerRoman"/>
      <w:lvlText w:val="%6."/>
      <w:lvlJc w:val="right"/>
      <w:pPr>
        <w:ind w:left="4092" w:hanging="180"/>
      </w:pPr>
    </w:lvl>
    <w:lvl w:ilvl="6" w:tplc="042A000F" w:tentative="1">
      <w:start w:val="1"/>
      <w:numFmt w:val="decimal"/>
      <w:lvlText w:val="%7."/>
      <w:lvlJc w:val="left"/>
      <w:pPr>
        <w:ind w:left="4812" w:hanging="360"/>
      </w:pPr>
    </w:lvl>
    <w:lvl w:ilvl="7" w:tplc="042A0019" w:tentative="1">
      <w:start w:val="1"/>
      <w:numFmt w:val="lowerLetter"/>
      <w:lvlText w:val="%8."/>
      <w:lvlJc w:val="left"/>
      <w:pPr>
        <w:ind w:left="5532" w:hanging="360"/>
      </w:pPr>
    </w:lvl>
    <w:lvl w:ilvl="8" w:tplc="042A001B" w:tentative="1">
      <w:start w:val="1"/>
      <w:numFmt w:val="lowerRoman"/>
      <w:lvlText w:val="%9."/>
      <w:lvlJc w:val="right"/>
      <w:pPr>
        <w:ind w:left="6252" w:hanging="180"/>
      </w:pPr>
    </w:lvl>
  </w:abstractNum>
  <w:abstractNum w:abstractNumId="23">
    <w:nsid w:val="52FE21C8"/>
    <w:multiLevelType w:val="hybridMultilevel"/>
    <w:tmpl w:val="8D266D8C"/>
    <w:lvl w:ilvl="0" w:tplc="6D68990A">
      <w:start w:val="1"/>
      <w:numFmt w:val="decimal"/>
      <w:suff w:val="space"/>
      <w:lvlText w:val="%1."/>
      <w:lvlJc w:val="left"/>
      <w:pPr>
        <w:ind w:left="492" w:hanging="360"/>
      </w:pPr>
      <w:rPr>
        <w:rFonts w:eastAsia="Times New Roman" w:hint="default"/>
        <w:b w:val="0"/>
        <w:sz w:val="28"/>
      </w:rPr>
    </w:lvl>
    <w:lvl w:ilvl="1" w:tplc="042A0019" w:tentative="1">
      <w:start w:val="1"/>
      <w:numFmt w:val="lowerLetter"/>
      <w:lvlText w:val="%2."/>
      <w:lvlJc w:val="left"/>
      <w:pPr>
        <w:ind w:left="1212" w:hanging="360"/>
      </w:pPr>
    </w:lvl>
    <w:lvl w:ilvl="2" w:tplc="042A001B" w:tentative="1">
      <w:start w:val="1"/>
      <w:numFmt w:val="lowerRoman"/>
      <w:lvlText w:val="%3."/>
      <w:lvlJc w:val="right"/>
      <w:pPr>
        <w:ind w:left="1932" w:hanging="180"/>
      </w:pPr>
    </w:lvl>
    <w:lvl w:ilvl="3" w:tplc="042A000F" w:tentative="1">
      <w:start w:val="1"/>
      <w:numFmt w:val="decimal"/>
      <w:lvlText w:val="%4."/>
      <w:lvlJc w:val="left"/>
      <w:pPr>
        <w:ind w:left="2652" w:hanging="360"/>
      </w:pPr>
    </w:lvl>
    <w:lvl w:ilvl="4" w:tplc="042A0019" w:tentative="1">
      <w:start w:val="1"/>
      <w:numFmt w:val="lowerLetter"/>
      <w:lvlText w:val="%5."/>
      <w:lvlJc w:val="left"/>
      <w:pPr>
        <w:ind w:left="3372" w:hanging="360"/>
      </w:pPr>
    </w:lvl>
    <w:lvl w:ilvl="5" w:tplc="042A001B" w:tentative="1">
      <w:start w:val="1"/>
      <w:numFmt w:val="lowerRoman"/>
      <w:lvlText w:val="%6."/>
      <w:lvlJc w:val="right"/>
      <w:pPr>
        <w:ind w:left="4092" w:hanging="180"/>
      </w:pPr>
    </w:lvl>
    <w:lvl w:ilvl="6" w:tplc="042A000F" w:tentative="1">
      <w:start w:val="1"/>
      <w:numFmt w:val="decimal"/>
      <w:lvlText w:val="%7."/>
      <w:lvlJc w:val="left"/>
      <w:pPr>
        <w:ind w:left="4812" w:hanging="360"/>
      </w:pPr>
    </w:lvl>
    <w:lvl w:ilvl="7" w:tplc="042A0019" w:tentative="1">
      <w:start w:val="1"/>
      <w:numFmt w:val="lowerLetter"/>
      <w:lvlText w:val="%8."/>
      <w:lvlJc w:val="left"/>
      <w:pPr>
        <w:ind w:left="5532" w:hanging="360"/>
      </w:pPr>
    </w:lvl>
    <w:lvl w:ilvl="8" w:tplc="042A001B" w:tentative="1">
      <w:start w:val="1"/>
      <w:numFmt w:val="lowerRoman"/>
      <w:lvlText w:val="%9."/>
      <w:lvlJc w:val="right"/>
      <w:pPr>
        <w:ind w:left="6252" w:hanging="180"/>
      </w:pPr>
    </w:lvl>
  </w:abstractNum>
  <w:abstractNum w:abstractNumId="24">
    <w:nsid w:val="61C16676"/>
    <w:multiLevelType w:val="multilevel"/>
    <w:tmpl w:val="47FE494A"/>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791310D6"/>
    <w:multiLevelType w:val="multilevel"/>
    <w:tmpl w:val="84542DBC"/>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7A875557"/>
    <w:multiLevelType w:val="multilevel"/>
    <w:tmpl w:val="5CB023E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7C6159B1"/>
    <w:multiLevelType w:val="hybridMultilevel"/>
    <w:tmpl w:val="72663114"/>
    <w:lvl w:ilvl="0" w:tplc="86F8707A">
      <w:start w:val="1"/>
      <w:numFmt w:val="decimal"/>
      <w:suff w:val="space"/>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5"/>
  </w:num>
  <w:num w:numId="2">
    <w:abstractNumId w:val="6"/>
  </w:num>
  <w:num w:numId="3">
    <w:abstractNumId w:val="9"/>
  </w:num>
  <w:num w:numId="4">
    <w:abstractNumId w:val="18"/>
  </w:num>
  <w:num w:numId="5">
    <w:abstractNumId w:val="14"/>
  </w:num>
  <w:num w:numId="6">
    <w:abstractNumId w:val="19"/>
  </w:num>
  <w:num w:numId="7">
    <w:abstractNumId w:val="16"/>
  </w:num>
  <w:num w:numId="8">
    <w:abstractNumId w:val="25"/>
  </w:num>
  <w:num w:numId="9">
    <w:abstractNumId w:val="11"/>
  </w:num>
  <w:num w:numId="10">
    <w:abstractNumId w:val="3"/>
  </w:num>
  <w:num w:numId="11">
    <w:abstractNumId w:val="1"/>
  </w:num>
  <w:num w:numId="12">
    <w:abstractNumId w:val="4"/>
  </w:num>
  <w:num w:numId="13">
    <w:abstractNumId w:val="20"/>
  </w:num>
  <w:num w:numId="14">
    <w:abstractNumId w:val="12"/>
  </w:num>
  <w:num w:numId="15">
    <w:abstractNumId w:val="8"/>
  </w:num>
  <w:num w:numId="16">
    <w:abstractNumId w:val="26"/>
  </w:num>
  <w:num w:numId="17">
    <w:abstractNumId w:val="24"/>
  </w:num>
  <w:num w:numId="18">
    <w:abstractNumId w:val="0"/>
  </w:num>
  <w:num w:numId="19">
    <w:abstractNumId w:val="7"/>
  </w:num>
  <w:num w:numId="20">
    <w:abstractNumId w:val="23"/>
  </w:num>
  <w:num w:numId="21">
    <w:abstractNumId w:val="5"/>
  </w:num>
  <w:num w:numId="22">
    <w:abstractNumId w:val="21"/>
  </w:num>
  <w:num w:numId="23">
    <w:abstractNumId w:val="2"/>
  </w:num>
  <w:num w:numId="24">
    <w:abstractNumId w:val="17"/>
  </w:num>
  <w:num w:numId="25">
    <w:abstractNumId w:val="10"/>
  </w:num>
  <w:num w:numId="26">
    <w:abstractNumId w:val="13"/>
  </w:num>
  <w:num w:numId="27">
    <w:abstractNumId w:val="2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2A"/>
    <w:rsid w:val="000026DA"/>
    <w:rsid w:val="0000606A"/>
    <w:rsid w:val="000152EC"/>
    <w:rsid w:val="00024465"/>
    <w:rsid w:val="0003042D"/>
    <w:rsid w:val="00040B22"/>
    <w:rsid w:val="0008451F"/>
    <w:rsid w:val="000850BD"/>
    <w:rsid w:val="000873E0"/>
    <w:rsid w:val="000A2449"/>
    <w:rsid w:val="000A75B7"/>
    <w:rsid w:val="000B3820"/>
    <w:rsid w:val="000B3858"/>
    <w:rsid w:val="000B590A"/>
    <w:rsid w:val="000B7D0E"/>
    <w:rsid w:val="000C31B8"/>
    <w:rsid w:val="000C473B"/>
    <w:rsid w:val="000C6479"/>
    <w:rsid w:val="000D0113"/>
    <w:rsid w:val="000E6BE5"/>
    <w:rsid w:val="00100F3A"/>
    <w:rsid w:val="001136CA"/>
    <w:rsid w:val="00113F8D"/>
    <w:rsid w:val="00132362"/>
    <w:rsid w:val="001665AE"/>
    <w:rsid w:val="00170833"/>
    <w:rsid w:val="001721BF"/>
    <w:rsid w:val="00183A7B"/>
    <w:rsid w:val="001A4685"/>
    <w:rsid w:val="001A6E3A"/>
    <w:rsid w:val="001A789B"/>
    <w:rsid w:val="001B7899"/>
    <w:rsid w:val="001B79BD"/>
    <w:rsid w:val="001D4C97"/>
    <w:rsid w:val="001D4ECB"/>
    <w:rsid w:val="001D7807"/>
    <w:rsid w:val="001F3C76"/>
    <w:rsid w:val="001F45F6"/>
    <w:rsid w:val="0020193D"/>
    <w:rsid w:val="00203BA9"/>
    <w:rsid w:val="00205FE3"/>
    <w:rsid w:val="00250823"/>
    <w:rsid w:val="00256699"/>
    <w:rsid w:val="0025678D"/>
    <w:rsid w:val="00260003"/>
    <w:rsid w:val="0026579A"/>
    <w:rsid w:val="0028678D"/>
    <w:rsid w:val="002A31B4"/>
    <w:rsid w:val="002B4DC6"/>
    <w:rsid w:val="002D7E28"/>
    <w:rsid w:val="002E41BE"/>
    <w:rsid w:val="002F26EE"/>
    <w:rsid w:val="0030278B"/>
    <w:rsid w:val="00312DD6"/>
    <w:rsid w:val="00313042"/>
    <w:rsid w:val="00340731"/>
    <w:rsid w:val="00351A84"/>
    <w:rsid w:val="00353826"/>
    <w:rsid w:val="0036616F"/>
    <w:rsid w:val="00367E44"/>
    <w:rsid w:val="003765AE"/>
    <w:rsid w:val="00381DFA"/>
    <w:rsid w:val="00387256"/>
    <w:rsid w:val="00395E23"/>
    <w:rsid w:val="00397DE8"/>
    <w:rsid w:val="003A0ED9"/>
    <w:rsid w:val="003A200E"/>
    <w:rsid w:val="003A4F9D"/>
    <w:rsid w:val="003B07D3"/>
    <w:rsid w:val="003B27C2"/>
    <w:rsid w:val="003B6DEF"/>
    <w:rsid w:val="003E1BA3"/>
    <w:rsid w:val="003F14D8"/>
    <w:rsid w:val="003F5866"/>
    <w:rsid w:val="004012BF"/>
    <w:rsid w:val="004075EB"/>
    <w:rsid w:val="00410879"/>
    <w:rsid w:val="004178B6"/>
    <w:rsid w:val="00436245"/>
    <w:rsid w:val="00437411"/>
    <w:rsid w:val="00447475"/>
    <w:rsid w:val="00447C8D"/>
    <w:rsid w:val="00450CFD"/>
    <w:rsid w:val="00452A0E"/>
    <w:rsid w:val="00461B3C"/>
    <w:rsid w:val="00470157"/>
    <w:rsid w:val="00477512"/>
    <w:rsid w:val="00482EC8"/>
    <w:rsid w:val="00486594"/>
    <w:rsid w:val="00490718"/>
    <w:rsid w:val="00494EEF"/>
    <w:rsid w:val="004B6918"/>
    <w:rsid w:val="004B7A1B"/>
    <w:rsid w:val="004C0E95"/>
    <w:rsid w:val="004D3813"/>
    <w:rsid w:val="004D491E"/>
    <w:rsid w:val="004D73C1"/>
    <w:rsid w:val="004E50EF"/>
    <w:rsid w:val="005107E5"/>
    <w:rsid w:val="0051717F"/>
    <w:rsid w:val="005300F2"/>
    <w:rsid w:val="00531A0C"/>
    <w:rsid w:val="00546290"/>
    <w:rsid w:val="00546DAD"/>
    <w:rsid w:val="00561D57"/>
    <w:rsid w:val="0056213A"/>
    <w:rsid w:val="00565462"/>
    <w:rsid w:val="00571F5B"/>
    <w:rsid w:val="0057773E"/>
    <w:rsid w:val="00587AE9"/>
    <w:rsid w:val="0059189A"/>
    <w:rsid w:val="005A16A5"/>
    <w:rsid w:val="005A7652"/>
    <w:rsid w:val="005D5AC6"/>
    <w:rsid w:val="005E29C2"/>
    <w:rsid w:val="00602B5E"/>
    <w:rsid w:val="00602D5E"/>
    <w:rsid w:val="00604316"/>
    <w:rsid w:val="006105AB"/>
    <w:rsid w:val="00623338"/>
    <w:rsid w:val="00623402"/>
    <w:rsid w:val="00626279"/>
    <w:rsid w:val="00630C4A"/>
    <w:rsid w:val="00633682"/>
    <w:rsid w:val="00636D89"/>
    <w:rsid w:val="00664086"/>
    <w:rsid w:val="0067338D"/>
    <w:rsid w:val="006759C3"/>
    <w:rsid w:val="00687336"/>
    <w:rsid w:val="006A481C"/>
    <w:rsid w:val="006B2A46"/>
    <w:rsid w:val="006B7DD3"/>
    <w:rsid w:val="006C6B3C"/>
    <w:rsid w:val="006D4C68"/>
    <w:rsid w:val="006E0CAD"/>
    <w:rsid w:val="006E3D26"/>
    <w:rsid w:val="00707C70"/>
    <w:rsid w:val="0071581F"/>
    <w:rsid w:val="00717545"/>
    <w:rsid w:val="00727602"/>
    <w:rsid w:val="00745A1E"/>
    <w:rsid w:val="00757751"/>
    <w:rsid w:val="007830AC"/>
    <w:rsid w:val="00787BCC"/>
    <w:rsid w:val="0079182C"/>
    <w:rsid w:val="007A1032"/>
    <w:rsid w:val="007A1DD1"/>
    <w:rsid w:val="007A3C4B"/>
    <w:rsid w:val="007A5220"/>
    <w:rsid w:val="007D0EF0"/>
    <w:rsid w:val="007D7979"/>
    <w:rsid w:val="007F075E"/>
    <w:rsid w:val="007F21B5"/>
    <w:rsid w:val="00807D42"/>
    <w:rsid w:val="00807F59"/>
    <w:rsid w:val="008152A0"/>
    <w:rsid w:val="00816F2D"/>
    <w:rsid w:val="00817311"/>
    <w:rsid w:val="00817B31"/>
    <w:rsid w:val="00836BC3"/>
    <w:rsid w:val="00863D35"/>
    <w:rsid w:val="00866898"/>
    <w:rsid w:val="00871C3F"/>
    <w:rsid w:val="008802E9"/>
    <w:rsid w:val="00893EE2"/>
    <w:rsid w:val="008B0BDD"/>
    <w:rsid w:val="008B2D25"/>
    <w:rsid w:val="008D2134"/>
    <w:rsid w:val="008E2CE9"/>
    <w:rsid w:val="008E4809"/>
    <w:rsid w:val="008F2F98"/>
    <w:rsid w:val="008F3BFB"/>
    <w:rsid w:val="00903F85"/>
    <w:rsid w:val="00912237"/>
    <w:rsid w:val="00917991"/>
    <w:rsid w:val="0092018F"/>
    <w:rsid w:val="00924ACD"/>
    <w:rsid w:val="00926C78"/>
    <w:rsid w:val="009318BC"/>
    <w:rsid w:val="00934A7D"/>
    <w:rsid w:val="00934CD7"/>
    <w:rsid w:val="00943201"/>
    <w:rsid w:val="0095124E"/>
    <w:rsid w:val="00963915"/>
    <w:rsid w:val="00965514"/>
    <w:rsid w:val="009763BB"/>
    <w:rsid w:val="00995F6F"/>
    <w:rsid w:val="009A23BC"/>
    <w:rsid w:val="009A3476"/>
    <w:rsid w:val="009A539E"/>
    <w:rsid w:val="009B0C92"/>
    <w:rsid w:val="009C6A3F"/>
    <w:rsid w:val="009C7020"/>
    <w:rsid w:val="009D2734"/>
    <w:rsid w:val="009D65E8"/>
    <w:rsid w:val="009E64A9"/>
    <w:rsid w:val="009F20F3"/>
    <w:rsid w:val="00A05C89"/>
    <w:rsid w:val="00A14924"/>
    <w:rsid w:val="00A16D57"/>
    <w:rsid w:val="00A24356"/>
    <w:rsid w:val="00A26596"/>
    <w:rsid w:val="00A34103"/>
    <w:rsid w:val="00A43E36"/>
    <w:rsid w:val="00A451D1"/>
    <w:rsid w:val="00A45885"/>
    <w:rsid w:val="00A53D6B"/>
    <w:rsid w:val="00A61331"/>
    <w:rsid w:val="00A7604F"/>
    <w:rsid w:val="00AA3B88"/>
    <w:rsid w:val="00AC2956"/>
    <w:rsid w:val="00AE1A75"/>
    <w:rsid w:val="00AE7C93"/>
    <w:rsid w:val="00AF163B"/>
    <w:rsid w:val="00AF481C"/>
    <w:rsid w:val="00AF50FE"/>
    <w:rsid w:val="00B07F92"/>
    <w:rsid w:val="00B20DBE"/>
    <w:rsid w:val="00B33F9A"/>
    <w:rsid w:val="00B42647"/>
    <w:rsid w:val="00B43A76"/>
    <w:rsid w:val="00B4481B"/>
    <w:rsid w:val="00B46B2A"/>
    <w:rsid w:val="00B60309"/>
    <w:rsid w:val="00B66004"/>
    <w:rsid w:val="00B665B6"/>
    <w:rsid w:val="00B67293"/>
    <w:rsid w:val="00B72163"/>
    <w:rsid w:val="00B8757D"/>
    <w:rsid w:val="00B94ED7"/>
    <w:rsid w:val="00B95FFD"/>
    <w:rsid w:val="00BA7167"/>
    <w:rsid w:val="00BB55D6"/>
    <w:rsid w:val="00BB577F"/>
    <w:rsid w:val="00BD4F2A"/>
    <w:rsid w:val="00BF56A5"/>
    <w:rsid w:val="00C14024"/>
    <w:rsid w:val="00C24237"/>
    <w:rsid w:val="00C30D39"/>
    <w:rsid w:val="00C31CC1"/>
    <w:rsid w:val="00C5427B"/>
    <w:rsid w:val="00C54AC9"/>
    <w:rsid w:val="00C61455"/>
    <w:rsid w:val="00C644A8"/>
    <w:rsid w:val="00C700F1"/>
    <w:rsid w:val="00C726BA"/>
    <w:rsid w:val="00C8134C"/>
    <w:rsid w:val="00C87629"/>
    <w:rsid w:val="00C97E4B"/>
    <w:rsid w:val="00CA471C"/>
    <w:rsid w:val="00CA4FAD"/>
    <w:rsid w:val="00CB0392"/>
    <w:rsid w:val="00CB4879"/>
    <w:rsid w:val="00CC4A9B"/>
    <w:rsid w:val="00CF0488"/>
    <w:rsid w:val="00CF2606"/>
    <w:rsid w:val="00CF3624"/>
    <w:rsid w:val="00CF7F82"/>
    <w:rsid w:val="00D01BE7"/>
    <w:rsid w:val="00D045DB"/>
    <w:rsid w:val="00D1687B"/>
    <w:rsid w:val="00D227B5"/>
    <w:rsid w:val="00D32F68"/>
    <w:rsid w:val="00D44293"/>
    <w:rsid w:val="00D70889"/>
    <w:rsid w:val="00D90DBC"/>
    <w:rsid w:val="00DA23F4"/>
    <w:rsid w:val="00DC0111"/>
    <w:rsid w:val="00DC1576"/>
    <w:rsid w:val="00DD3AD5"/>
    <w:rsid w:val="00DD6D6F"/>
    <w:rsid w:val="00DE0BD8"/>
    <w:rsid w:val="00DF135E"/>
    <w:rsid w:val="00DF63F2"/>
    <w:rsid w:val="00E06E8E"/>
    <w:rsid w:val="00E072E0"/>
    <w:rsid w:val="00E07E67"/>
    <w:rsid w:val="00E1050F"/>
    <w:rsid w:val="00E13655"/>
    <w:rsid w:val="00E2058B"/>
    <w:rsid w:val="00E236BD"/>
    <w:rsid w:val="00E27616"/>
    <w:rsid w:val="00E36C33"/>
    <w:rsid w:val="00E477D8"/>
    <w:rsid w:val="00E51555"/>
    <w:rsid w:val="00E5511E"/>
    <w:rsid w:val="00E641BD"/>
    <w:rsid w:val="00E82E8E"/>
    <w:rsid w:val="00EB79C0"/>
    <w:rsid w:val="00ED35CF"/>
    <w:rsid w:val="00ED53F1"/>
    <w:rsid w:val="00ED6984"/>
    <w:rsid w:val="00EE2DED"/>
    <w:rsid w:val="00EF1164"/>
    <w:rsid w:val="00F161A7"/>
    <w:rsid w:val="00F27A6F"/>
    <w:rsid w:val="00F27B7F"/>
    <w:rsid w:val="00F31681"/>
    <w:rsid w:val="00F40D05"/>
    <w:rsid w:val="00F4608E"/>
    <w:rsid w:val="00F4657D"/>
    <w:rsid w:val="00F6462D"/>
    <w:rsid w:val="00F70E29"/>
    <w:rsid w:val="00F75345"/>
    <w:rsid w:val="00F91D81"/>
    <w:rsid w:val="00F94BDE"/>
    <w:rsid w:val="00F96ED4"/>
    <w:rsid w:val="00FA0343"/>
    <w:rsid w:val="00FB0094"/>
    <w:rsid w:val="00FB1042"/>
    <w:rsid w:val="00FC7A47"/>
    <w:rsid w:val="00FE508C"/>
    <w:rsid w:val="00FF33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2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F2A"/>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A45885"/>
    <w:pPr>
      <w:widowControl/>
      <w:spacing w:before="100" w:beforeAutospacing="1" w:after="100" w:afterAutospacing="1"/>
    </w:pPr>
    <w:rPr>
      <w:rFonts w:ascii="Times New Roman" w:hAnsi="Times New Roman" w:cs="Times New Roman"/>
      <w:color w:val="auto"/>
      <w:lang w:val="en-US" w:eastAsia="en-US"/>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rsid w:val="002F26EE"/>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unhideWhenUsed/>
    <w:rsid w:val="009763BB"/>
    <w:rPr>
      <w:color w:val="0000FF"/>
      <w:u w:val="single"/>
    </w:rPr>
  </w:style>
  <w:style w:type="paragraph" w:styleId="FootnoteText">
    <w:name w:val="footnote text"/>
    <w:basedOn w:val="Normal"/>
    <w:link w:val="FootnoteTextChar"/>
    <w:semiHidden/>
    <w:rsid w:val="00461B3C"/>
    <w:pPr>
      <w:widowControl/>
    </w:pPr>
    <w:rPr>
      <w:rFonts w:ascii=".VnTime" w:hAnsi=".VnTime" w:cs=".VnTime"/>
      <w:b/>
      <w:bCs/>
      <w:color w:val="auto"/>
      <w:sz w:val="20"/>
      <w:szCs w:val="20"/>
      <w:lang w:val="en-US" w:eastAsia="en-US"/>
    </w:rPr>
  </w:style>
  <w:style w:type="character" w:customStyle="1" w:styleId="FootnoteTextChar">
    <w:name w:val="Footnote Text Char"/>
    <w:basedOn w:val="DefaultParagraphFont"/>
    <w:link w:val="FootnoteText"/>
    <w:semiHidden/>
    <w:rsid w:val="00461B3C"/>
    <w:rPr>
      <w:rFonts w:ascii=".VnTime" w:eastAsia="Times New Roman" w:hAnsi=".VnTime" w:cs=".VnTime"/>
      <w:b/>
      <w:bCs/>
      <w:sz w:val="20"/>
      <w:szCs w:val="20"/>
    </w:rPr>
  </w:style>
  <w:style w:type="character" w:styleId="FootnoteReference">
    <w:name w:val="footnote reference"/>
    <w:semiHidden/>
    <w:rsid w:val="00461B3C"/>
    <w:rPr>
      <w:rFonts w:eastAsia="MS Mincho"/>
      <w:vertAlign w:val="superscript"/>
      <w:lang w:val="en-US" w:eastAsia="en-US" w:bidi="ar-SA"/>
    </w:rPr>
  </w:style>
  <w:style w:type="paragraph" w:styleId="Header">
    <w:name w:val="header"/>
    <w:basedOn w:val="Normal"/>
    <w:link w:val="HeaderChar"/>
    <w:uiPriority w:val="99"/>
    <w:unhideWhenUsed/>
    <w:rsid w:val="008F2F98"/>
    <w:pPr>
      <w:tabs>
        <w:tab w:val="center" w:pos="4680"/>
        <w:tab w:val="right" w:pos="9360"/>
      </w:tabs>
    </w:pPr>
  </w:style>
  <w:style w:type="character" w:customStyle="1" w:styleId="HeaderChar">
    <w:name w:val="Header Char"/>
    <w:basedOn w:val="DefaultParagraphFont"/>
    <w:link w:val="Header"/>
    <w:uiPriority w:val="99"/>
    <w:rsid w:val="008F2F98"/>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8F2F98"/>
    <w:pPr>
      <w:tabs>
        <w:tab w:val="center" w:pos="4680"/>
        <w:tab w:val="right" w:pos="9360"/>
      </w:tabs>
    </w:pPr>
  </w:style>
  <w:style w:type="character" w:customStyle="1" w:styleId="FooterChar">
    <w:name w:val="Footer Char"/>
    <w:basedOn w:val="DefaultParagraphFont"/>
    <w:link w:val="Footer"/>
    <w:uiPriority w:val="99"/>
    <w:rsid w:val="008F2F98"/>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F31681"/>
    <w:pPr>
      <w:widowControl/>
      <w:spacing w:after="200" w:line="276" w:lineRule="auto"/>
      <w:ind w:left="720"/>
      <w:contextualSpacing/>
    </w:pPr>
    <w:rPr>
      <w:rFonts w:ascii="Times New Roman" w:eastAsia="Calibri" w:hAnsi="Times New Roman" w:cs="Times New Roman"/>
      <w:color w:val="auto"/>
      <w:sz w:val="28"/>
      <w:szCs w:val="28"/>
      <w:lang w:val="en-US" w:eastAsia="en-US"/>
    </w:rPr>
  </w:style>
  <w:style w:type="character" w:customStyle="1" w:styleId="UnresolvedMention">
    <w:name w:val="Unresolved Mention"/>
    <w:basedOn w:val="DefaultParagraphFont"/>
    <w:uiPriority w:val="99"/>
    <w:semiHidden/>
    <w:unhideWhenUsed/>
    <w:rsid w:val="00A16D57"/>
    <w:rPr>
      <w:color w:val="605E5C"/>
      <w:shd w:val="clear" w:color="auto" w:fill="E1DFDD"/>
    </w:rPr>
  </w:style>
  <w:style w:type="paragraph" w:styleId="BodyTextIndent3">
    <w:name w:val="Body Text Indent 3"/>
    <w:basedOn w:val="Normal"/>
    <w:link w:val="BodyTextIndent3Char"/>
    <w:rsid w:val="00CF0488"/>
    <w:pPr>
      <w:widowControl/>
      <w:pBdr>
        <w:top w:val="none" w:sz="4" w:space="0" w:color="000000"/>
        <w:left w:val="none" w:sz="4" w:space="0" w:color="000000"/>
        <w:bottom w:val="none" w:sz="4" w:space="0" w:color="000000"/>
        <w:right w:val="none" w:sz="4" w:space="0" w:color="000000"/>
        <w:between w:val="none" w:sz="4" w:space="0" w:color="000000"/>
      </w:pBdr>
      <w:spacing w:after="120"/>
      <w:ind w:left="360"/>
    </w:pPr>
    <w:rPr>
      <w:rFonts w:ascii=".VnTime" w:hAnsi=".VnTime" w:cs="Times New Roman"/>
      <w:color w:val="auto"/>
      <w:sz w:val="16"/>
      <w:szCs w:val="16"/>
      <w:lang w:val="en-US" w:eastAsia="en-US"/>
    </w:rPr>
  </w:style>
  <w:style w:type="character" w:customStyle="1" w:styleId="BodyTextIndent3Char">
    <w:name w:val="Body Text Indent 3 Char"/>
    <w:basedOn w:val="DefaultParagraphFont"/>
    <w:link w:val="BodyTextIndent3"/>
    <w:rsid w:val="00CF0488"/>
    <w:rPr>
      <w:rFonts w:ascii=".VnTime" w:eastAsia="Times New Roman" w:hAnsi=".VnTime" w:cs="Times New Roman"/>
      <w:sz w:val="16"/>
      <w:szCs w:val="16"/>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0B7D0E"/>
    <w:rPr>
      <w:rFonts w:ascii="Times New Roman" w:eastAsia="Times New Roman" w:hAnsi="Times New Roman" w:cs="Times New Roman"/>
      <w:sz w:val="24"/>
      <w:szCs w:val="24"/>
    </w:rPr>
  </w:style>
  <w:style w:type="character" w:customStyle="1" w:styleId="Bodytext">
    <w:name w:val="Body text_"/>
    <w:basedOn w:val="DefaultParagraphFont"/>
    <w:link w:val="BodyText1"/>
    <w:rsid w:val="00367E44"/>
    <w:rPr>
      <w:sz w:val="28"/>
      <w:szCs w:val="28"/>
      <w:shd w:val="clear" w:color="auto" w:fill="FFFFFF"/>
    </w:rPr>
  </w:style>
  <w:style w:type="paragraph" w:customStyle="1" w:styleId="BodyText1">
    <w:name w:val="Body Text1"/>
    <w:basedOn w:val="Normal"/>
    <w:link w:val="Bodytext"/>
    <w:qFormat/>
    <w:rsid w:val="00367E44"/>
    <w:pPr>
      <w:shd w:val="clear" w:color="auto" w:fill="FFFFFF"/>
      <w:spacing w:after="120" w:line="269" w:lineRule="auto"/>
      <w:ind w:firstLine="400"/>
    </w:pPr>
    <w:rPr>
      <w:rFonts w:asciiTheme="minorHAnsi" w:eastAsiaTheme="minorHAnsi" w:hAnsiTheme="minorHAnsi" w:cstheme="minorBidi"/>
      <w:color w:val="auto"/>
      <w:sz w:val="28"/>
      <w:szCs w:val="28"/>
      <w:lang w:val="en-US" w:eastAsia="en-US"/>
    </w:rPr>
  </w:style>
  <w:style w:type="character" w:styleId="Emphasis">
    <w:name w:val="Emphasis"/>
    <w:qFormat/>
    <w:rsid w:val="0020193D"/>
    <w:rPr>
      <w:i/>
      <w:iCs/>
    </w:rPr>
  </w:style>
  <w:style w:type="character" w:customStyle="1" w:styleId="fontstyle01">
    <w:name w:val="fontstyle01"/>
    <w:basedOn w:val="DefaultParagraphFont"/>
    <w:rsid w:val="00B4264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42647"/>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2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F2A"/>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A45885"/>
    <w:pPr>
      <w:widowControl/>
      <w:spacing w:before="100" w:beforeAutospacing="1" w:after="100" w:afterAutospacing="1"/>
    </w:pPr>
    <w:rPr>
      <w:rFonts w:ascii="Times New Roman" w:hAnsi="Times New Roman" w:cs="Times New Roman"/>
      <w:color w:val="auto"/>
      <w:lang w:val="en-US" w:eastAsia="en-US"/>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rsid w:val="002F26EE"/>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unhideWhenUsed/>
    <w:rsid w:val="009763BB"/>
    <w:rPr>
      <w:color w:val="0000FF"/>
      <w:u w:val="single"/>
    </w:rPr>
  </w:style>
  <w:style w:type="paragraph" w:styleId="FootnoteText">
    <w:name w:val="footnote text"/>
    <w:basedOn w:val="Normal"/>
    <w:link w:val="FootnoteTextChar"/>
    <w:semiHidden/>
    <w:rsid w:val="00461B3C"/>
    <w:pPr>
      <w:widowControl/>
    </w:pPr>
    <w:rPr>
      <w:rFonts w:ascii=".VnTime" w:hAnsi=".VnTime" w:cs=".VnTime"/>
      <w:b/>
      <w:bCs/>
      <w:color w:val="auto"/>
      <w:sz w:val="20"/>
      <w:szCs w:val="20"/>
      <w:lang w:val="en-US" w:eastAsia="en-US"/>
    </w:rPr>
  </w:style>
  <w:style w:type="character" w:customStyle="1" w:styleId="FootnoteTextChar">
    <w:name w:val="Footnote Text Char"/>
    <w:basedOn w:val="DefaultParagraphFont"/>
    <w:link w:val="FootnoteText"/>
    <w:semiHidden/>
    <w:rsid w:val="00461B3C"/>
    <w:rPr>
      <w:rFonts w:ascii=".VnTime" w:eastAsia="Times New Roman" w:hAnsi=".VnTime" w:cs=".VnTime"/>
      <w:b/>
      <w:bCs/>
      <w:sz w:val="20"/>
      <w:szCs w:val="20"/>
    </w:rPr>
  </w:style>
  <w:style w:type="character" w:styleId="FootnoteReference">
    <w:name w:val="footnote reference"/>
    <w:semiHidden/>
    <w:rsid w:val="00461B3C"/>
    <w:rPr>
      <w:rFonts w:eastAsia="MS Mincho"/>
      <w:vertAlign w:val="superscript"/>
      <w:lang w:val="en-US" w:eastAsia="en-US" w:bidi="ar-SA"/>
    </w:rPr>
  </w:style>
  <w:style w:type="paragraph" w:styleId="Header">
    <w:name w:val="header"/>
    <w:basedOn w:val="Normal"/>
    <w:link w:val="HeaderChar"/>
    <w:uiPriority w:val="99"/>
    <w:unhideWhenUsed/>
    <w:rsid w:val="008F2F98"/>
    <w:pPr>
      <w:tabs>
        <w:tab w:val="center" w:pos="4680"/>
        <w:tab w:val="right" w:pos="9360"/>
      </w:tabs>
    </w:pPr>
  </w:style>
  <w:style w:type="character" w:customStyle="1" w:styleId="HeaderChar">
    <w:name w:val="Header Char"/>
    <w:basedOn w:val="DefaultParagraphFont"/>
    <w:link w:val="Header"/>
    <w:uiPriority w:val="99"/>
    <w:rsid w:val="008F2F98"/>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8F2F98"/>
    <w:pPr>
      <w:tabs>
        <w:tab w:val="center" w:pos="4680"/>
        <w:tab w:val="right" w:pos="9360"/>
      </w:tabs>
    </w:pPr>
  </w:style>
  <w:style w:type="character" w:customStyle="1" w:styleId="FooterChar">
    <w:name w:val="Footer Char"/>
    <w:basedOn w:val="DefaultParagraphFont"/>
    <w:link w:val="Footer"/>
    <w:uiPriority w:val="99"/>
    <w:rsid w:val="008F2F98"/>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F31681"/>
    <w:pPr>
      <w:widowControl/>
      <w:spacing w:after="200" w:line="276" w:lineRule="auto"/>
      <w:ind w:left="720"/>
      <w:contextualSpacing/>
    </w:pPr>
    <w:rPr>
      <w:rFonts w:ascii="Times New Roman" w:eastAsia="Calibri" w:hAnsi="Times New Roman" w:cs="Times New Roman"/>
      <w:color w:val="auto"/>
      <w:sz w:val="28"/>
      <w:szCs w:val="28"/>
      <w:lang w:val="en-US" w:eastAsia="en-US"/>
    </w:rPr>
  </w:style>
  <w:style w:type="character" w:customStyle="1" w:styleId="UnresolvedMention">
    <w:name w:val="Unresolved Mention"/>
    <w:basedOn w:val="DefaultParagraphFont"/>
    <w:uiPriority w:val="99"/>
    <w:semiHidden/>
    <w:unhideWhenUsed/>
    <w:rsid w:val="00A16D57"/>
    <w:rPr>
      <w:color w:val="605E5C"/>
      <w:shd w:val="clear" w:color="auto" w:fill="E1DFDD"/>
    </w:rPr>
  </w:style>
  <w:style w:type="paragraph" w:styleId="BodyTextIndent3">
    <w:name w:val="Body Text Indent 3"/>
    <w:basedOn w:val="Normal"/>
    <w:link w:val="BodyTextIndent3Char"/>
    <w:rsid w:val="00CF0488"/>
    <w:pPr>
      <w:widowControl/>
      <w:pBdr>
        <w:top w:val="none" w:sz="4" w:space="0" w:color="000000"/>
        <w:left w:val="none" w:sz="4" w:space="0" w:color="000000"/>
        <w:bottom w:val="none" w:sz="4" w:space="0" w:color="000000"/>
        <w:right w:val="none" w:sz="4" w:space="0" w:color="000000"/>
        <w:between w:val="none" w:sz="4" w:space="0" w:color="000000"/>
      </w:pBdr>
      <w:spacing w:after="120"/>
      <w:ind w:left="360"/>
    </w:pPr>
    <w:rPr>
      <w:rFonts w:ascii=".VnTime" w:hAnsi=".VnTime" w:cs="Times New Roman"/>
      <w:color w:val="auto"/>
      <w:sz w:val="16"/>
      <w:szCs w:val="16"/>
      <w:lang w:val="en-US" w:eastAsia="en-US"/>
    </w:rPr>
  </w:style>
  <w:style w:type="character" w:customStyle="1" w:styleId="BodyTextIndent3Char">
    <w:name w:val="Body Text Indent 3 Char"/>
    <w:basedOn w:val="DefaultParagraphFont"/>
    <w:link w:val="BodyTextIndent3"/>
    <w:rsid w:val="00CF0488"/>
    <w:rPr>
      <w:rFonts w:ascii=".VnTime" w:eastAsia="Times New Roman" w:hAnsi=".VnTime" w:cs="Times New Roman"/>
      <w:sz w:val="16"/>
      <w:szCs w:val="16"/>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0B7D0E"/>
    <w:rPr>
      <w:rFonts w:ascii="Times New Roman" w:eastAsia="Times New Roman" w:hAnsi="Times New Roman" w:cs="Times New Roman"/>
      <w:sz w:val="24"/>
      <w:szCs w:val="24"/>
    </w:rPr>
  </w:style>
  <w:style w:type="character" w:customStyle="1" w:styleId="Bodytext">
    <w:name w:val="Body text_"/>
    <w:basedOn w:val="DefaultParagraphFont"/>
    <w:link w:val="BodyText1"/>
    <w:rsid w:val="00367E44"/>
    <w:rPr>
      <w:sz w:val="28"/>
      <w:szCs w:val="28"/>
      <w:shd w:val="clear" w:color="auto" w:fill="FFFFFF"/>
    </w:rPr>
  </w:style>
  <w:style w:type="paragraph" w:customStyle="1" w:styleId="BodyText1">
    <w:name w:val="Body Text1"/>
    <w:basedOn w:val="Normal"/>
    <w:link w:val="Bodytext"/>
    <w:qFormat/>
    <w:rsid w:val="00367E44"/>
    <w:pPr>
      <w:shd w:val="clear" w:color="auto" w:fill="FFFFFF"/>
      <w:spacing w:after="120" w:line="269" w:lineRule="auto"/>
      <w:ind w:firstLine="400"/>
    </w:pPr>
    <w:rPr>
      <w:rFonts w:asciiTheme="minorHAnsi" w:eastAsiaTheme="minorHAnsi" w:hAnsiTheme="minorHAnsi" w:cstheme="minorBidi"/>
      <w:color w:val="auto"/>
      <w:sz w:val="28"/>
      <w:szCs w:val="28"/>
      <w:lang w:val="en-US" w:eastAsia="en-US"/>
    </w:rPr>
  </w:style>
  <w:style w:type="character" w:styleId="Emphasis">
    <w:name w:val="Emphasis"/>
    <w:qFormat/>
    <w:rsid w:val="0020193D"/>
    <w:rPr>
      <w:i/>
      <w:iCs/>
    </w:rPr>
  </w:style>
  <w:style w:type="character" w:customStyle="1" w:styleId="fontstyle01">
    <w:name w:val="fontstyle01"/>
    <w:basedOn w:val="DefaultParagraphFont"/>
    <w:rsid w:val="00B4264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4264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48430">
      <w:bodyDiv w:val="1"/>
      <w:marLeft w:val="0"/>
      <w:marRight w:val="0"/>
      <w:marTop w:val="0"/>
      <w:marBottom w:val="0"/>
      <w:divBdr>
        <w:top w:val="none" w:sz="0" w:space="0" w:color="auto"/>
        <w:left w:val="none" w:sz="0" w:space="0" w:color="auto"/>
        <w:bottom w:val="none" w:sz="0" w:space="0" w:color="auto"/>
        <w:right w:val="none" w:sz="0" w:space="0" w:color="auto"/>
      </w:divBdr>
    </w:div>
    <w:div w:id="375007039">
      <w:bodyDiv w:val="1"/>
      <w:marLeft w:val="0"/>
      <w:marRight w:val="0"/>
      <w:marTop w:val="0"/>
      <w:marBottom w:val="0"/>
      <w:divBdr>
        <w:top w:val="none" w:sz="0" w:space="0" w:color="auto"/>
        <w:left w:val="none" w:sz="0" w:space="0" w:color="auto"/>
        <w:bottom w:val="none" w:sz="0" w:space="0" w:color="auto"/>
        <w:right w:val="none" w:sz="0" w:space="0" w:color="auto"/>
      </w:divBdr>
    </w:div>
    <w:div w:id="18192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nguyendoanlong</dc:creator>
  <cp:lastModifiedBy>ismail - [2010]</cp:lastModifiedBy>
  <cp:revision>21</cp:revision>
  <cp:lastPrinted>2025-06-11T09:07:00Z</cp:lastPrinted>
  <dcterms:created xsi:type="dcterms:W3CDTF">2025-08-07T01:45:00Z</dcterms:created>
  <dcterms:modified xsi:type="dcterms:W3CDTF">2025-11-18T09:28:00Z</dcterms:modified>
</cp:coreProperties>
</file>